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18" w:rsidRDefault="0066151F">
      <w:pPr>
        <w:rPr>
          <w:rFonts w:ascii="新細明體" w:eastAsia="新細明體" w:hAnsi="新細明體" w:cs="新細明體"/>
          <w:b/>
          <w:color w:val="000000" w:themeColor="text1"/>
          <w:kern w:val="0"/>
          <w:sz w:val="28"/>
          <w:szCs w:val="28"/>
        </w:rPr>
      </w:pPr>
      <w:hyperlink r:id="rId6" w:history="1">
        <w:r w:rsidR="005A28F1" w:rsidRPr="005A28F1">
          <w:rPr>
            <w:rStyle w:val="a3"/>
            <w:color w:val="000000" w:themeColor="text1"/>
            <w:sz w:val="28"/>
            <w:szCs w:val="28"/>
            <w:u w:val="none"/>
          </w:rPr>
          <w:t>兒童及少年受安置輔導或感化教育之學籍轉銜及復學辦法</w:t>
        </w:r>
      </w:hyperlink>
      <w:r w:rsidR="005A28F1">
        <w:t xml:space="preserve"> </w:t>
      </w:r>
      <w:r w:rsidR="005A28F1" w:rsidRPr="004878B4">
        <w:rPr>
          <w:rFonts w:ascii="新細明體" w:eastAsia="新細明體" w:hAnsi="新細明體" w:cs="新細明體" w:hint="eastAsia"/>
          <w:b/>
          <w:color w:val="000000" w:themeColor="text1"/>
          <w:kern w:val="0"/>
          <w:sz w:val="28"/>
          <w:szCs w:val="28"/>
        </w:rPr>
        <w:t xml:space="preserve"> </w:t>
      </w:r>
      <w:r w:rsidR="005A28F1">
        <w:rPr>
          <w:rFonts w:ascii="新細明體" w:eastAsia="新細明體" w:hAnsi="新細明體" w:cs="新細明體" w:hint="eastAsia"/>
          <w:b/>
          <w:color w:val="000000" w:themeColor="text1"/>
          <w:kern w:val="0"/>
          <w:sz w:val="28"/>
          <w:szCs w:val="28"/>
        </w:rPr>
        <w:t>（102.10.31修正）</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59"/>
        <w:gridCol w:w="7357"/>
      </w:tblGrid>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7" w:history="1">
              <w:r w:rsidRPr="001177DF">
                <w:rPr>
                  <w:rStyle w:val="a3"/>
                  <w:color w:val="000000" w:themeColor="text1"/>
                </w:rPr>
                <w:t>第</w:t>
              </w:r>
              <w:r w:rsidRPr="001177DF">
                <w:rPr>
                  <w:rStyle w:val="a3"/>
                  <w:color w:val="000000" w:themeColor="text1"/>
                </w:rPr>
                <w:t xml:space="preserve"> 1 </w:t>
              </w:r>
              <w:r w:rsidRPr="001177DF">
                <w:rPr>
                  <w:rStyle w:val="a3"/>
                  <w:color w:val="000000" w:themeColor="text1"/>
                </w:rPr>
                <w:t>條</w:t>
              </w:r>
            </w:hyperlink>
          </w:p>
        </w:tc>
        <w:tc>
          <w:tcPr>
            <w:tcW w:w="4363" w:type="pct"/>
            <w:vAlign w:val="center"/>
            <w:hideMark/>
          </w:tcPr>
          <w:p w:rsidR="001177DF" w:rsidRPr="001177DF" w:rsidRDefault="001177DF">
            <w:pPr>
              <w:pStyle w:val="HTML"/>
              <w:rPr>
                <w:color w:val="000000" w:themeColor="text1"/>
              </w:rPr>
            </w:pPr>
            <w:r w:rsidRPr="001177DF">
              <w:rPr>
                <w:rFonts w:hint="eastAsia"/>
                <w:color w:val="000000" w:themeColor="text1"/>
              </w:rPr>
              <w:t>本辦法依兒童及少年福利與權益保障法第七十三條第二項規定訂定之。</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8" w:history="1">
              <w:r w:rsidRPr="001177DF">
                <w:rPr>
                  <w:rStyle w:val="a3"/>
                  <w:color w:val="000000" w:themeColor="text1"/>
                </w:rPr>
                <w:t>第</w:t>
              </w:r>
              <w:r w:rsidRPr="001177DF">
                <w:rPr>
                  <w:rStyle w:val="a3"/>
                  <w:color w:val="000000" w:themeColor="text1"/>
                </w:rPr>
                <w:t xml:space="preserve"> 2 </w:t>
              </w:r>
              <w:r w:rsidRPr="001177DF">
                <w:rPr>
                  <w:rStyle w:val="a3"/>
                  <w:color w:val="000000" w:themeColor="text1"/>
                </w:rPr>
                <w:t>條</w:t>
              </w:r>
            </w:hyperlink>
          </w:p>
        </w:tc>
        <w:tc>
          <w:tcPr>
            <w:tcW w:w="4363" w:type="pct"/>
            <w:vAlign w:val="center"/>
            <w:hideMark/>
          </w:tcPr>
          <w:p w:rsidR="001177DF" w:rsidRPr="001177DF" w:rsidRDefault="001177DF">
            <w:pPr>
              <w:pStyle w:val="HTML"/>
              <w:rPr>
                <w:rFonts w:hint="eastAsia"/>
                <w:color w:val="000000" w:themeColor="text1"/>
              </w:rPr>
            </w:pPr>
            <w:r w:rsidRPr="001177DF">
              <w:rPr>
                <w:rFonts w:hint="eastAsia"/>
                <w:color w:val="000000" w:themeColor="text1"/>
              </w:rPr>
              <w:t>本辦法適用對象為依少年事件處理法交付安置輔導或施以感化教育之兒童及少年（以下簡稱兒童及少年）。</w:t>
            </w:r>
          </w:p>
          <w:p w:rsidR="001177DF" w:rsidRPr="001177DF" w:rsidRDefault="001177DF" w:rsidP="001177DF">
            <w:pPr>
              <w:pStyle w:val="HTML"/>
              <w:rPr>
                <w:color w:val="000000" w:themeColor="text1"/>
              </w:rPr>
            </w:pPr>
            <w:r w:rsidRPr="001177DF">
              <w:rPr>
                <w:rFonts w:hint="eastAsia"/>
                <w:color w:val="000000" w:themeColor="text1"/>
              </w:rPr>
              <w:t>本辦法所定學籍轉銜及復學，適用於兒童及少年受安置輔導、施以感化教育期間及其期滿後，或經提報免除、停止執行感化教育後。</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9" w:history="1">
              <w:r w:rsidRPr="001177DF">
                <w:rPr>
                  <w:rStyle w:val="a3"/>
                  <w:color w:val="000000" w:themeColor="text1"/>
                </w:rPr>
                <w:t>第</w:t>
              </w:r>
              <w:r w:rsidRPr="001177DF">
                <w:rPr>
                  <w:rStyle w:val="a3"/>
                  <w:color w:val="000000" w:themeColor="text1"/>
                </w:rPr>
                <w:t xml:space="preserve"> 3 </w:t>
              </w:r>
              <w:r w:rsidRPr="001177DF">
                <w:rPr>
                  <w:rStyle w:val="a3"/>
                  <w:color w:val="000000" w:themeColor="text1"/>
                </w:rPr>
                <w:t>條</w:t>
              </w:r>
            </w:hyperlink>
          </w:p>
        </w:tc>
        <w:tc>
          <w:tcPr>
            <w:tcW w:w="4363" w:type="pct"/>
            <w:vAlign w:val="center"/>
            <w:hideMark/>
          </w:tcPr>
          <w:p w:rsidR="001177DF" w:rsidRPr="001177DF" w:rsidRDefault="001177DF" w:rsidP="001177DF">
            <w:pPr>
              <w:pStyle w:val="HTML"/>
              <w:rPr>
                <w:color w:val="000000" w:themeColor="text1"/>
              </w:rPr>
            </w:pPr>
            <w:r w:rsidRPr="001177DF">
              <w:rPr>
                <w:rFonts w:hint="eastAsia"/>
                <w:color w:val="000000" w:themeColor="text1"/>
              </w:rPr>
              <w:t>執行兒童及少年安置輔導之福利、教養機構（以下簡稱安置輔導機構）或感化教育機構應於兒童及少年進入機構後十四日至一個月內，評估兒童及少年之身心狀況及學習能力等相關需求，訂定兒童及少年受安置輔導或感化教育期間之就學輔導或處遇計畫。</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0" w:history="1">
              <w:r w:rsidRPr="001177DF">
                <w:rPr>
                  <w:rStyle w:val="a3"/>
                  <w:color w:val="000000" w:themeColor="text1"/>
                </w:rPr>
                <w:t>第</w:t>
              </w:r>
              <w:r w:rsidRPr="001177DF">
                <w:rPr>
                  <w:rStyle w:val="a3"/>
                  <w:color w:val="000000" w:themeColor="text1"/>
                </w:rPr>
                <w:t xml:space="preserve"> 4 </w:t>
              </w:r>
              <w:r w:rsidRPr="001177DF">
                <w:rPr>
                  <w:rStyle w:val="a3"/>
                  <w:color w:val="000000" w:themeColor="text1"/>
                </w:rPr>
                <w:t>條</w:t>
              </w:r>
            </w:hyperlink>
          </w:p>
        </w:tc>
        <w:tc>
          <w:tcPr>
            <w:tcW w:w="4363" w:type="pct"/>
            <w:vAlign w:val="center"/>
            <w:hideMark/>
          </w:tcPr>
          <w:p w:rsidR="001177DF" w:rsidRPr="001177DF" w:rsidRDefault="001177DF" w:rsidP="001177DF">
            <w:pPr>
              <w:pStyle w:val="HTML"/>
              <w:rPr>
                <w:color w:val="000000" w:themeColor="text1"/>
              </w:rPr>
            </w:pPr>
            <w:r w:rsidRPr="001177DF">
              <w:rPr>
                <w:rFonts w:hint="eastAsia"/>
                <w:color w:val="000000" w:themeColor="text1"/>
              </w:rPr>
              <w:t>兒童及少年於進入安置輔導機構後一個月內，機構應訂定安置輔導期間轉銜及復學教育計畫，必要時，得邀集擬轉銜及復學學校主管機關代表、學校校長、兒童及少年家長代表及其他相關人員，召開轉銜及復學輔導會議決定之。</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1" w:history="1">
              <w:r w:rsidRPr="001177DF">
                <w:rPr>
                  <w:rStyle w:val="a3"/>
                  <w:color w:val="000000" w:themeColor="text1"/>
                </w:rPr>
                <w:t>第</w:t>
              </w:r>
              <w:r w:rsidRPr="001177DF">
                <w:rPr>
                  <w:rStyle w:val="a3"/>
                  <w:color w:val="000000" w:themeColor="text1"/>
                </w:rPr>
                <w:t xml:space="preserve"> 5 </w:t>
              </w:r>
              <w:r w:rsidRPr="001177DF">
                <w:rPr>
                  <w:rStyle w:val="a3"/>
                  <w:color w:val="000000" w:themeColor="text1"/>
                </w:rPr>
                <w:t>條</w:t>
              </w:r>
            </w:hyperlink>
          </w:p>
        </w:tc>
        <w:tc>
          <w:tcPr>
            <w:tcW w:w="4363" w:type="pct"/>
            <w:vAlign w:val="center"/>
            <w:hideMark/>
          </w:tcPr>
          <w:p w:rsidR="001177DF" w:rsidRPr="001177DF" w:rsidRDefault="001177DF" w:rsidP="001177DF">
            <w:pPr>
              <w:pStyle w:val="HTML"/>
              <w:rPr>
                <w:color w:val="000000" w:themeColor="text1"/>
              </w:rPr>
            </w:pPr>
            <w:r w:rsidRPr="001177DF">
              <w:rPr>
                <w:rFonts w:hint="eastAsia"/>
                <w:color w:val="000000" w:themeColor="text1"/>
              </w:rPr>
              <w:t>兒童及少年於受安置輔導或感化教育期滿一個月前或經提報免除、停止執行感化教育當月，安置輔導機構或感化教育機構應邀集擬轉銜及復學學校主管機關代表、學校校長、兒童及少年家長代表及其他相關人員，召開轉銜及復學輔導會議，訂定離開機構後之轉銜及復學教育計畫。</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2" w:history="1">
              <w:r w:rsidRPr="001177DF">
                <w:rPr>
                  <w:rStyle w:val="a3"/>
                  <w:color w:val="000000" w:themeColor="text1"/>
                </w:rPr>
                <w:t>第</w:t>
              </w:r>
              <w:r w:rsidRPr="001177DF">
                <w:rPr>
                  <w:rStyle w:val="a3"/>
                  <w:color w:val="000000" w:themeColor="text1"/>
                </w:rPr>
                <w:t xml:space="preserve"> 6 </w:t>
              </w:r>
              <w:r w:rsidRPr="001177DF">
                <w:rPr>
                  <w:rStyle w:val="a3"/>
                  <w:color w:val="000000" w:themeColor="text1"/>
                </w:rPr>
                <w:t>條</w:t>
              </w:r>
            </w:hyperlink>
          </w:p>
        </w:tc>
        <w:tc>
          <w:tcPr>
            <w:tcW w:w="4363" w:type="pct"/>
            <w:vAlign w:val="center"/>
            <w:hideMark/>
          </w:tcPr>
          <w:p w:rsidR="001177DF" w:rsidRPr="001177DF" w:rsidRDefault="001177DF">
            <w:pPr>
              <w:pStyle w:val="HTML"/>
              <w:rPr>
                <w:rFonts w:hint="eastAsia"/>
                <w:color w:val="000000" w:themeColor="text1"/>
              </w:rPr>
            </w:pPr>
            <w:r w:rsidRPr="001177DF">
              <w:rPr>
                <w:rFonts w:hint="eastAsia"/>
                <w:color w:val="000000" w:themeColor="text1"/>
              </w:rPr>
              <w:t>兒童及少年之學籍轉銜及復學方式如下：</w:t>
            </w:r>
          </w:p>
          <w:p w:rsidR="001177DF" w:rsidRPr="001177DF" w:rsidRDefault="001177DF">
            <w:pPr>
              <w:pStyle w:val="HTML"/>
              <w:rPr>
                <w:rFonts w:hint="eastAsia"/>
                <w:color w:val="000000" w:themeColor="text1"/>
              </w:rPr>
            </w:pPr>
            <w:r w:rsidRPr="001177DF">
              <w:rPr>
                <w:rFonts w:hint="eastAsia"/>
                <w:color w:val="000000" w:themeColor="text1"/>
              </w:rPr>
              <w:t>一、國民教育階段：</w:t>
            </w:r>
          </w:p>
          <w:p w:rsidR="001177DF" w:rsidRPr="001177DF" w:rsidRDefault="001177DF">
            <w:pPr>
              <w:pStyle w:val="HTML"/>
              <w:rPr>
                <w:rFonts w:hint="eastAsia"/>
                <w:color w:val="000000" w:themeColor="text1"/>
              </w:rPr>
            </w:pPr>
            <w:r w:rsidRPr="001177DF">
              <w:rPr>
                <w:rFonts w:hint="eastAsia"/>
                <w:color w:val="000000" w:themeColor="text1"/>
              </w:rPr>
              <w:t>（一）未逾國民教育年齡者：依國民教育法規定進入戶籍所在地或安置輔導機構、感化教育機構所在地學區學校。</w:t>
            </w:r>
          </w:p>
          <w:p w:rsidR="001177DF" w:rsidRPr="001177DF" w:rsidRDefault="001177DF">
            <w:pPr>
              <w:pStyle w:val="HTML"/>
              <w:rPr>
                <w:rFonts w:hint="eastAsia"/>
                <w:color w:val="000000" w:themeColor="text1"/>
              </w:rPr>
            </w:pPr>
            <w:r w:rsidRPr="001177DF">
              <w:rPr>
                <w:rFonts w:hint="eastAsia"/>
                <w:color w:val="000000" w:themeColor="text1"/>
              </w:rPr>
              <w:t>（二）逾國民教育年齡者：進入戶籍所在地或安置輔導機構、感化教育機構所在地學區學校或附設補習學校。</w:t>
            </w:r>
          </w:p>
          <w:p w:rsidR="001177DF" w:rsidRPr="001177DF" w:rsidRDefault="001177DF" w:rsidP="001177DF">
            <w:pPr>
              <w:pStyle w:val="HTML"/>
              <w:rPr>
                <w:color w:val="000000" w:themeColor="text1"/>
              </w:rPr>
            </w:pPr>
            <w:r w:rsidRPr="001177DF">
              <w:rPr>
                <w:rFonts w:hint="eastAsia"/>
                <w:color w:val="000000" w:themeColor="text1"/>
              </w:rPr>
              <w:t>二、高級中等教育階段：由安置輔導機構或感化教育機構專案向擬轉銜及復學學校及學校主管機關申報學籍，不受高級中等學校學籍申報時間及名額限制。</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3" w:history="1">
              <w:r w:rsidRPr="001177DF">
                <w:rPr>
                  <w:rStyle w:val="a3"/>
                  <w:color w:val="000000" w:themeColor="text1"/>
                </w:rPr>
                <w:t>第</w:t>
              </w:r>
              <w:r w:rsidRPr="001177DF">
                <w:rPr>
                  <w:rStyle w:val="a3"/>
                  <w:color w:val="000000" w:themeColor="text1"/>
                </w:rPr>
                <w:t xml:space="preserve"> 7 </w:t>
              </w:r>
              <w:r w:rsidRPr="001177DF">
                <w:rPr>
                  <w:rStyle w:val="a3"/>
                  <w:color w:val="000000" w:themeColor="text1"/>
                </w:rPr>
                <w:t>條</w:t>
              </w:r>
            </w:hyperlink>
          </w:p>
        </w:tc>
        <w:tc>
          <w:tcPr>
            <w:tcW w:w="4363" w:type="pct"/>
            <w:vAlign w:val="center"/>
            <w:hideMark/>
          </w:tcPr>
          <w:p w:rsidR="001177DF" w:rsidRPr="001177DF" w:rsidRDefault="001177DF">
            <w:pPr>
              <w:pStyle w:val="HTML"/>
              <w:rPr>
                <w:rFonts w:hint="eastAsia"/>
                <w:color w:val="000000" w:themeColor="text1"/>
              </w:rPr>
            </w:pPr>
            <w:r w:rsidRPr="001177DF">
              <w:rPr>
                <w:rFonts w:hint="eastAsia"/>
                <w:color w:val="000000" w:themeColor="text1"/>
              </w:rPr>
              <w:t>教育部應會同法務部、衛生福利部組成兒童及少年學籍轉銜及復學教育協調小組，辦理下列事項：</w:t>
            </w:r>
          </w:p>
          <w:p w:rsidR="001177DF" w:rsidRPr="001177DF" w:rsidRDefault="001177DF">
            <w:pPr>
              <w:pStyle w:val="HTML"/>
              <w:rPr>
                <w:rFonts w:hint="eastAsia"/>
                <w:color w:val="000000" w:themeColor="text1"/>
              </w:rPr>
            </w:pPr>
            <w:r w:rsidRPr="001177DF">
              <w:rPr>
                <w:rFonts w:hint="eastAsia"/>
                <w:color w:val="000000" w:themeColor="text1"/>
              </w:rPr>
              <w:t>一、協調學籍轉銜及復學合作學校名單。</w:t>
            </w:r>
          </w:p>
          <w:p w:rsidR="001177DF" w:rsidRPr="001177DF" w:rsidRDefault="001177DF">
            <w:pPr>
              <w:pStyle w:val="HTML"/>
              <w:rPr>
                <w:rFonts w:hint="eastAsia"/>
                <w:color w:val="000000" w:themeColor="text1"/>
              </w:rPr>
            </w:pPr>
            <w:r w:rsidRPr="001177DF">
              <w:rPr>
                <w:rFonts w:hint="eastAsia"/>
                <w:color w:val="000000" w:themeColor="text1"/>
              </w:rPr>
              <w:t>二、處理爭議個案。</w:t>
            </w:r>
          </w:p>
          <w:p w:rsidR="001177DF" w:rsidRPr="001177DF" w:rsidRDefault="001177DF">
            <w:pPr>
              <w:pStyle w:val="HTML"/>
              <w:rPr>
                <w:rFonts w:hint="eastAsia"/>
                <w:color w:val="000000" w:themeColor="text1"/>
              </w:rPr>
            </w:pPr>
            <w:r w:rsidRPr="001177DF">
              <w:rPr>
                <w:rFonts w:hint="eastAsia"/>
                <w:color w:val="000000" w:themeColor="text1"/>
              </w:rPr>
              <w:t>三、建立個案安置輔導檢核指標，提供少年法院個案審理裁定處遇之</w:t>
            </w:r>
            <w:r w:rsidRPr="001177DF">
              <w:rPr>
                <w:rFonts w:hint="eastAsia"/>
                <w:color w:val="000000" w:themeColor="text1"/>
              </w:rPr>
              <w:lastRenderedPageBreak/>
              <w:t>參據。</w:t>
            </w:r>
          </w:p>
          <w:p w:rsidR="001177DF" w:rsidRPr="001177DF" w:rsidRDefault="001177DF">
            <w:pPr>
              <w:pStyle w:val="HTML"/>
              <w:rPr>
                <w:rFonts w:hint="eastAsia"/>
                <w:color w:val="000000" w:themeColor="text1"/>
              </w:rPr>
            </w:pPr>
            <w:r w:rsidRPr="001177DF">
              <w:rPr>
                <w:rFonts w:hint="eastAsia"/>
                <w:color w:val="000000" w:themeColor="text1"/>
              </w:rPr>
              <w:t>四、處理第九條所定獎懲事宜。</w:t>
            </w:r>
          </w:p>
          <w:p w:rsidR="001177DF" w:rsidRPr="001177DF" w:rsidRDefault="001177DF">
            <w:pPr>
              <w:pStyle w:val="HTML"/>
              <w:rPr>
                <w:rFonts w:hint="eastAsia"/>
                <w:color w:val="000000" w:themeColor="text1"/>
              </w:rPr>
            </w:pPr>
            <w:r w:rsidRPr="001177DF">
              <w:rPr>
                <w:rFonts w:hint="eastAsia"/>
                <w:color w:val="000000" w:themeColor="text1"/>
              </w:rPr>
              <w:t>五、其他轉銜及復學相關事項。</w:t>
            </w:r>
          </w:p>
          <w:p w:rsidR="001177DF" w:rsidRPr="001177DF" w:rsidRDefault="001177DF" w:rsidP="001177DF">
            <w:pPr>
              <w:pStyle w:val="HTML"/>
              <w:rPr>
                <w:color w:val="000000" w:themeColor="text1"/>
              </w:rPr>
            </w:pPr>
            <w:r w:rsidRPr="001177DF">
              <w:rPr>
                <w:rFonts w:hint="eastAsia"/>
                <w:color w:val="000000" w:themeColor="text1"/>
              </w:rPr>
              <w:t>前項協調小組置委員十三人至二十一人，其中一人為召集人，由教育部國民及學前教育署署長擔任；其餘委員，就直轄市、縣（市）教育與社政主管機關代表、安置輔導機構或感化教育機構首長及專家學者聘（派）兼之。任一性別委員人數不得少於委員總數三分之一。</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4" w:history="1">
              <w:r w:rsidRPr="001177DF">
                <w:rPr>
                  <w:rStyle w:val="a3"/>
                  <w:color w:val="000000" w:themeColor="text1"/>
                </w:rPr>
                <w:t>第</w:t>
              </w:r>
              <w:r w:rsidRPr="001177DF">
                <w:rPr>
                  <w:rStyle w:val="a3"/>
                  <w:color w:val="000000" w:themeColor="text1"/>
                </w:rPr>
                <w:t xml:space="preserve"> 8 </w:t>
              </w:r>
              <w:r w:rsidRPr="001177DF">
                <w:rPr>
                  <w:rStyle w:val="a3"/>
                  <w:color w:val="000000" w:themeColor="text1"/>
                </w:rPr>
                <w:t>條</w:t>
              </w:r>
            </w:hyperlink>
          </w:p>
        </w:tc>
        <w:tc>
          <w:tcPr>
            <w:tcW w:w="4363" w:type="pct"/>
            <w:vAlign w:val="center"/>
            <w:hideMark/>
          </w:tcPr>
          <w:p w:rsidR="001177DF" w:rsidRPr="001177DF" w:rsidRDefault="001177DF" w:rsidP="001177DF">
            <w:pPr>
              <w:pStyle w:val="HTML"/>
              <w:rPr>
                <w:color w:val="000000" w:themeColor="text1"/>
              </w:rPr>
            </w:pPr>
            <w:r w:rsidRPr="001177DF">
              <w:rPr>
                <w:rFonts w:hint="eastAsia"/>
                <w:color w:val="000000" w:themeColor="text1"/>
              </w:rPr>
              <w:t>兒童及少年依第四條、第五條之轉銜及復學教育計畫，向轉銜及復學學校報到後十四日內，學校應通知原安置輔導機構或感化教育機構，並視學生需求，於開學或復學後一個月內，召開個案輔導會議，必要時，得邀請原安置輔導機構或感化教育機構相關人員參加。</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5" w:history="1">
              <w:r w:rsidRPr="001177DF">
                <w:rPr>
                  <w:rStyle w:val="a3"/>
                  <w:color w:val="000000" w:themeColor="text1"/>
                </w:rPr>
                <w:t>第</w:t>
              </w:r>
              <w:r w:rsidRPr="001177DF">
                <w:rPr>
                  <w:rStyle w:val="a3"/>
                  <w:color w:val="000000" w:themeColor="text1"/>
                </w:rPr>
                <w:t xml:space="preserve"> 9 </w:t>
              </w:r>
              <w:r w:rsidRPr="001177DF">
                <w:rPr>
                  <w:rStyle w:val="a3"/>
                  <w:color w:val="000000" w:themeColor="text1"/>
                </w:rPr>
                <w:t>條</w:t>
              </w:r>
            </w:hyperlink>
          </w:p>
        </w:tc>
        <w:tc>
          <w:tcPr>
            <w:tcW w:w="4363" w:type="pct"/>
            <w:vAlign w:val="center"/>
            <w:hideMark/>
          </w:tcPr>
          <w:p w:rsidR="001177DF" w:rsidRPr="001177DF" w:rsidRDefault="001177DF">
            <w:pPr>
              <w:pStyle w:val="HTML"/>
              <w:rPr>
                <w:rFonts w:hint="eastAsia"/>
                <w:color w:val="000000" w:themeColor="text1"/>
              </w:rPr>
            </w:pPr>
            <w:r w:rsidRPr="001177DF">
              <w:rPr>
                <w:rFonts w:hint="eastAsia"/>
                <w:color w:val="000000" w:themeColor="text1"/>
              </w:rPr>
              <w:t>學校辦理兒童及少年轉銜及復學輔導工作之執行成效，應納入各該學校校務評鑑。</w:t>
            </w:r>
          </w:p>
          <w:p w:rsidR="001177DF" w:rsidRPr="001177DF" w:rsidRDefault="001177DF">
            <w:pPr>
              <w:pStyle w:val="HTML"/>
              <w:rPr>
                <w:rFonts w:hint="eastAsia"/>
                <w:color w:val="000000" w:themeColor="text1"/>
              </w:rPr>
            </w:pPr>
            <w:r w:rsidRPr="001177DF">
              <w:rPr>
                <w:rFonts w:hint="eastAsia"/>
                <w:color w:val="000000" w:themeColor="text1"/>
              </w:rPr>
              <w:t>學校辦理兒童及少年轉銜及復學輔導工作成效良好者，由教育部會同法務部、衛生福利部予以表揚，並由教育部函知學校主管機關依相關規定敘獎。</w:t>
            </w:r>
          </w:p>
          <w:p w:rsidR="001177DF" w:rsidRPr="001177DF" w:rsidRDefault="001177DF" w:rsidP="001177DF">
            <w:pPr>
              <w:pStyle w:val="HTML"/>
              <w:rPr>
                <w:color w:val="000000" w:themeColor="text1"/>
              </w:rPr>
            </w:pPr>
            <w:r w:rsidRPr="001177DF">
              <w:rPr>
                <w:rFonts w:hint="eastAsia"/>
                <w:color w:val="000000" w:themeColor="text1"/>
              </w:rPr>
              <w:t>學校違反本辦法規定，或執行轉銜及復學教育計畫不力致影響兒童及少年受教權益者，由教育部函知學校主管機關依相關規定懲處。</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6" w:history="1">
              <w:r w:rsidRPr="001177DF">
                <w:rPr>
                  <w:rStyle w:val="a3"/>
                  <w:color w:val="000000" w:themeColor="text1"/>
                </w:rPr>
                <w:t>第</w:t>
              </w:r>
              <w:r w:rsidRPr="001177DF">
                <w:rPr>
                  <w:rStyle w:val="a3"/>
                  <w:color w:val="000000" w:themeColor="text1"/>
                </w:rPr>
                <w:t xml:space="preserve"> 10 </w:t>
              </w:r>
              <w:r w:rsidRPr="001177DF">
                <w:rPr>
                  <w:rStyle w:val="a3"/>
                  <w:color w:val="000000" w:themeColor="text1"/>
                </w:rPr>
                <w:t>條</w:t>
              </w:r>
            </w:hyperlink>
          </w:p>
        </w:tc>
        <w:tc>
          <w:tcPr>
            <w:tcW w:w="4363" w:type="pct"/>
            <w:vAlign w:val="center"/>
            <w:hideMark/>
          </w:tcPr>
          <w:p w:rsidR="001177DF" w:rsidRPr="001177DF" w:rsidRDefault="001177DF" w:rsidP="001177DF">
            <w:pPr>
              <w:pStyle w:val="HTML"/>
              <w:rPr>
                <w:color w:val="000000" w:themeColor="text1"/>
              </w:rPr>
            </w:pPr>
            <w:r w:rsidRPr="001177DF">
              <w:rPr>
                <w:rFonts w:hint="eastAsia"/>
                <w:color w:val="000000" w:themeColor="text1"/>
              </w:rPr>
              <w:t>兒童及少年於國民教育及高級中等教育階段之入學、升學、轉學及學籍管理，本辦法未規定者，適用其他相關法規規定。</w:t>
            </w:r>
          </w:p>
        </w:tc>
      </w:tr>
      <w:tr w:rsidR="001177DF" w:rsidRPr="001177DF" w:rsidTr="001177DF">
        <w:trPr>
          <w:tblCellSpacing w:w="15" w:type="dxa"/>
          <w:jc w:val="center"/>
        </w:trPr>
        <w:tc>
          <w:tcPr>
            <w:tcW w:w="586" w:type="pct"/>
            <w:noWrap/>
            <w:vAlign w:val="center"/>
            <w:hideMark/>
          </w:tcPr>
          <w:p w:rsidR="001177DF" w:rsidRPr="001177DF" w:rsidRDefault="001177DF">
            <w:pPr>
              <w:rPr>
                <w:rFonts w:ascii="新細明體" w:eastAsia="新細明體" w:hAnsi="新細明體" w:cs="新細明體"/>
                <w:color w:val="000000" w:themeColor="text1"/>
                <w:szCs w:val="24"/>
              </w:rPr>
            </w:pPr>
            <w:hyperlink r:id="rId17" w:history="1">
              <w:r w:rsidRPr="001177DF">
                <w:rPr>
                  <w:rStyle w:val="a3"/>
                  <w:color w:val="000000" w:themeColor="text1"/>
                </w:rPr>
                <w:t>第</w:t>
              </w:r>
              <w:r w:rsidRPr="001177DF">
                <w:rPr>
                  <w:rStyle w:val="a3"/>
                  <w:color w:val="000000" w:themeColor="text1"/>
                </w:rPr>
                <w:t xml:space="preserve"> 11 </w:t>
              </w:r>
              <w:r w:rsidRPr="001177DF">
                <w:rPr>
                  <w:rStyle w:val="a3"/>
                  <w:color w:val="000000" w:themeColor="text1"/>
                </w:rPr>
                <w:t>條</w:t>
              </w:r>
            </w:hyperlink>
          </w:p>
        </w:tc>
        <w:tc>
          <w:tcPr>
            <w:tcW w:w="4363" w:type="pct"/>
            <w:vAlign w:val="center"/>
            <w:hideMark/>
          </w:tcPr>
          <w:p w:rsidR="001177DF" w:rsidRPr="001177DF" w:rsidRDefault="001177DF">
            <w:pPr>
              <w:pStyle w:val="HTML"/>
              <w:rPr>
                <w:color w:val="000000" w:themeColor="text1"/>
              </w:rPr>
            </w:pPr>
            <w:r w:rsidRPr="001177DF">
              <w:rPr>
                <w:rFonts w:hint="eastAsia"/>
                <w:color w:val="000000" w:themeColor="text1"/>
              </w:rPr>
              <w:t>本辦法自發布日施行。</w:t>
            </w:r>
          </w:p>
        </w:tc>
      </w:tr>
    </w:tbl>
    <w:p w:rsidR="005A28F1" w:rsidRPr="001177DF" w:rsidRDefault="005A28F1"/>
    <w:sectPr w:rsidR="005A28F1" w:rsidRPr="001177DF" w:rsidSect="00E7371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DF" w:rsidRDefault="001177DF" w:rsidP="001177DF">
      <w:r>
        <w:separator/>
      </w:r>
    </w:p>
  </w:endnote>
  <w:endnote w:type="continuationSeparator" w:id="0">
    <w:p w:rsidR="001177DF" w:rsidRDefault="001177DF" w:rsidP="001177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DF" w:rsidRDefault="001177DF" w:rsidP="001177DF">
      <w:r>
        <w:separator/>
      </w:r>
    </w:p>
  </w:footnote>
  <w:footnote w:type="continuationSeparator" w:id="0">
    <w:p w:rsidR="001177DF" w:rsidRDefault="001177DF" w:rsidP="001177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8F1"/>
    <w:rsid w:val="001177DF"/>
    <w:rsid w:val="004C2C30"/>
    <w:rsid w:val="005A28F1"/>
    <w:rsid w:val="006205C6"/>
    <w:rsid w:val="0066151F"/>
    <w:rsid w:val="008D5EBF"/>
    <w:rsid w:val="00E73718"/>
    <w:rsid w:val="00EC4C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28F1"/>
    <w:rPr>
      <w:color w:val="0000FF"/>
      <w:u w:val="single"/>
    </w:rPr>
  </w:style>
  <w:style w:type="paragraph" w:styleId="a4">
    <w:name w:val="header"/>
    <w:basedOn w:val="a"/>
    <w:link w:val="a5"/>
    <w:uiPriority w:val="99"/>
    <w:semiHidden/>
    <w:unhideWhenUsed/>
    <w:rsid w:val="001177DF"/>
    <w:pPr>
      <w:tabs>
        <w:tab w:val="center" w:pos="4153"/>
        <w:tab w:val="right" w:pos="8306"/>
      </w:tabs>
      <w:snapToGrid w:val="0"/>
    </w:pPr>
    <w:rPr>
      <w:sz w:val="20"/>
      <w:szCs w:val="20"/>
    </w:rPr>
  </w:style>
  <w:style w:type="character" w:customStyle="1" w:styleId="a5">
    <w:name w:val="頁首 字元"/>
    <w:basedOn w:val="a0"/>
    <w:link w:val="a4"/>
    <w:uiPriority w:val="99"/>
    <w:semiHidden/>
    <w:rsid w:val="001177DF"/>
    <w:rPr>
      <w:sz w:val="20"/>
      <w:szCs w:val="20"/>
    </w:rPr>
  </w:style>
  <w:style w:type="paragraph" w:styleId="a6">
    <w:name w:val="footer"/>
    <w:basedOn w:val="a"/>
    <w:link w:val="a7"/>
    <w:uiPriority w:val="99"/>
    <w:semiHidden/>
    <w:unhideWhenUsed/>
    <w:rsid w:val="001177DF"/>
    <w:pPr>
      <w:tabs>
        <w:tab w:val="center" w:pos="4153"/>
        <w:tab w:val="right" w:pos="8306"/>
      </w:tabs>
      <w:snapToGrid w:val="0"/>
    </w:pPr>
    <w:rPr>
      <w:sz w:val="20"/>
      <w:szCs w:val="20"/>
    </w:rPr>
  </w:style>
  <w:style w:type="character" w:customStyle="1" w:styleId="a7">
    <w:name w:val="頁尾 字元"/>
    <w:basedOn w:val="a0"/>
    <w:link w:val="a6"/>
    <w:uiPriority w:val="99"/>
    <w:semiHidden/>
    <w:rsid w:val="001177DF"/>
    <w:rPr>
      <w:sz w:val="20"/>
      <w:szCs w:val="20"/>
    </w:rPr>
  </w:style>
  <w:style w:type="paragraph" w:styleId="HTML">
    <w:name w:val="HTML Preformatted"/>
    <w:basedOn w:val="a"/>
    <w:link w:val="HTML0"/>
    <w:uiPriority w:val="99"/>
    <w:unhideWhenUsed/>
    <w:rsid w:val="001177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177DF"/>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If.aspx?Pcode=H0020083&amp;FLNO=2" TargetMode="External"/><Relationship Id="rId13" Type="http://schemas.openxmlformats.org/officeDocument/2006/relationships/hyperlink" Target="http://law.moj.gov.tw/LawClass/LawSingleIf.aspx?Pcode=H0020083&amp;FLNO=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w.moj.gov.tw/LawClass/LawSingleIf.aspx?Pcode=H0020083&amp;FLNO=1" TargetMode="External"/><Relationship Id="rId12" Type="http://schemas.openxmlformats.org/officeDocument/2006/relationships/hyperlink" Target="http://law.moj.gov.tw/LawClass/LawSingleIf.aspx?Pcode=H0020083&amp;FLNO=6" TargetMode="External"/><Relationship Id="rId17" Type="http://schemas.openxmlformats.org/officeDocument/2006/relationships/hyperlink" Target="http://law.moj.gov.tw/LawClass/LawSingleIf.aspx?Pcode=H0020083&amp;FLNO=11" TargetMode="External"/><Relationship Id="rId2" Type="http://schemas.openxmlformats.org/officeDocument/2006/relationships/settings" Target="settings.xml"/><Relationship Id="rId16" Type="http://schemas.openxmlformats.org/officeDocument/2006/relationships/hyperlink" Target="http://law.moj.gov.tw/LawClass/LawSingleIf.aspx?Pcode=H0020083&amp;FLNO=10" TargetMode="External"/><Relationship Id="rId1" Type="http://schemas.openxmlformats.org/officeDocument/2006/relationships/styles" Target="styles.xml"/><Relationship Id="rId6" Type="http://schemas.openxmlformats.org/officeDocument/2006/relationships/hyperlink" Target="http://law.moj.gov.tw/LawClass/LawContentIf.aspx?PCODE=H0020083" TargetMode="External"/><Relationship Id="rId11" Type="http://schemas.openxmlformats.org/officeDocument/2006/relationships/hyperlink" Target="http://law.moj.gov.tw/LawClass/LawSingleIf.aspx?Pcode=H0020083&amp;FLNO=5" TargetMode="External"/><Relationship Id="rId5" Type="http://schemas.openxmlformats.org/officeDocument/2006/relationships/endnotes" Target="endnotes.xml"/><Relationship Id="rId15" Type="http://schemas.openxmlformats.org/officeDocument/2006/relationships/hyperlink" Target="http://law.moj.gov.tw/LawClass/LawSingleIf.aspx?Pcode=H0020083&amp;FLNO=9" TargetMode="External"/><Relationship Id="rId10" Type="http://schemas.openxmlformats.org/officeDocument/2006/relationships/hyperlink" Target="http://law.moj.gov.tw/LawClass/LawSingleIf.aspx?Pcode=H0020083&amp;FLNO=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aw.moj.gov.tw/LawClass/LawSingleIf.aspx?Pcode=H0020083&amp;FLNO=3" TargetMode="External"/><Relationship Id="rId14" Type="http://schemas.openxmlformats.org/officeDocument/2006/relationships/hyperlink" Target="http://law.moj.gov.tw/LawClass/LawSingleIf.aspx?Pcode=H0020083&amp;FLNO=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2</cp:revision>
  <dcterms:created xsi:type="dcterms:W3CDTF">2014-05-07T01:43:00Z</dcterms:created>
  <dcterms:modified xsi:type="dcterms:W3CDTF">2014-05-07T01:47:00Z</dcterms:modified>
</cp:coreProperties>
</file>