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3E" w:rsidRPr="004E6C91" w:rsidRDefault="004E6C91">
      <w:pPr>
        <w:rPr>
          <w:rFonts w:hint="eastAsia"/>
          <w:b/>
          <w:color w:val="000000" w:themeColor="text1"/>
          <w:sz w:val="28"/>
          <w:szCs w:val="28"/>
        </w:rPr>
      </w:pPr>
      <w:r w:rsidRPr="004E6C91">
        <w:rPr>
          <w:rFonts w:ascii="新細明體" w:eastAsia="新細明體" w:hAnsi="新細明體" w:cs="新細明體"/>
          <w:b/>
          <w:color w:val="000000" w:themeColor="text1"/>
          <w:kern w:val="0"/>
          <w:sz w:val="28"/>
          <w:szCs w:val="28"/>
        </w:rPr>
        <w:fldChar w:fldCharType="begin"/>
      </w:r>
      <w:r w:rsidRPr="004E6C91">
        <w:rPr>
          <w:rFonts w:ascii="新細明體" w:eastAsia="新細明體" w:hAnsi="新細明體" w:cs="新細明體"/>
          <w:b/>
          <w:color w:val="000000" w:themeColor="text1"/>
          <w:kern w:val="0"/>
          <w:sz w:val="28"/>
          <w:szCs w:val="28"/>
        </w:rPr>
        <w:instrText xml:space="preserve"> HYPERLINK "http://law.moj.gov.tw/LawClass/LawContent.aspx?PCODE=D0050009" </w:instrText>
      </w:r>
      <w:r w:rsidRPr="004E6C91">
        <w:rPr>
          <w:rFonts w:ascii="新細明體" w:eastAsia="新細明體" w:hAnsi="新細明體" w:cs="新細明體"/>
          <w:b/>
          <w:color w:val="000000" w:themeColor="text1"/>
          <w:kern w:val="0"/>
          <w:sz w:val="28"/>
          <w:szCs w:val="28"/>
        </w:rPr>
        <w:fldChar w:fldCharType="separate"/>
      </w:r>
      <w:r w:rsidRPr="004E6C91">
        <w:rPr>
          <w:rFonts w:ascii="新細明體" w:eastAsia="新細明體" w:hAnsi="新細明體" w:cs="新細明體"/>
          <w:b/>
          <w:color w:val="000000" w:themeColor="text1"/>
          <w:kern w:val="0"/>
          <w:sz w:val="28"/>
          <w:szCs w:val="28"/>
        </w:rPr>
        <w:t>兒童及少年保護通報及處理辦法</w:t>
      </w:r>
      <w:r w:rsidRPr="004E6C91">
        <w:rPr>
          <w:rFonts w:ascii="新細明體" w:eastAsia="新細明體" w:hAnsi="新細明體" w:cs="新細明體"/>
          <w:b/>
          <w:color w:val="000000" w:themeColor="text1"/>
          <w:kern w:val="0"/>
          <w:sz w:val="28"/>
          <w:szCs w:val="28"/>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4"/>
        <w:gridCol w:w="7252"/>
      </w:tblGrid>
      <w:tr w:rsidR="004E6C91" w:rsidRPr="004E6C91" w:rsidTr="004E6C91">
        <w:trPr>
          <w:jc w:val="center"/>
        </w:trPr>
        <w:tc>
          <w:tcPr>
            <w:tcW w:w="650" w:type="pct"/>
            <w:noWrap/>
            <w:vAlign w:val="center"/>
            <w:hideMark/>
          </w:tcPr>
          <w:p w:rsidR="004E6C91" w:rsidRPr="004E6C91" w:rsidRDefault="004E6C91" w:rsidP="004E6C91">
            <w:pPr>
              <w:widowControl/>
              <w:jc w:val="center"/>
              <w:rPr>
                <w:rFonts w:ascii="新細明體" w:eastAsia="新細明體" w:hAnsi="新細明體" w:cs="新細明體"/>
                <w:b/>
                <w:bCs/>
                <w:color w:val="000000" w:themeColor="text1"/>
                <w:kern w:val="0"/>
                <w:szCs w:val="24"/>
              </w:rPr>
            </w:pPr>
            <w:r w:rsidRPr="004E6C91">
              <w:rPr>
                <w:rFonts w:ascii="新細明體" w:eastAsia="新細明體" w:hAnsi="新細明體" w:cs="新細明體"/>
                <w:b/>
                <w:bCs/>
                <w:color w:val="000000" w:themeColor="text1"/>
                <w:kern w:val="0"/>
                <w:szCs w:val="24"/>
              </w:rPr>
              <w:t>名　　稱</w:t>
            </w:r>
          </w:p>
        </w:tc>
        <w:tc>
          <w:tcPr>
            <w:tcW w:w="4350" w:type="pct"/>
            <w:vAlign w:val="center"/>
            <w:hideMark/>
          </w:tcPr>
          <w:p w:rsidR="004E6C91" w:rsidRPr="004E6C91" w:rsidRDefault="004E6C91" w:rsidP="004E6C91">
            <w:pPr>
              <w:widowControl/>
              <w:rPr>
                <w:rFonts w:ascii="新細明體" w:eastAsia="新細明體" w:hAnsi="新細明體" w:cs="新細明體"/>
                <w:color w:val="000000" w:themeColor="text1"/>
                <w:kern w:val="0"/>
                <w:szCs w:val="24"/>
              </w:rPr>
            </w:pPr>
            <w:hyperlink r:id="rId4" w:history="1">
              <w:r w:rsidRPr="007433A4">
                <w:rPr>
                  <w:rFonts w:ascii="新細明體" w:eastAsia="新細明體" w:hAnsi="新細明體" w:cs="新細明體"/>
                  <w:color w:val="000000" w:themeColor="text1"/>
                  <w:kern w:val="0"/>
                  <w:szCs w:val="24"/>
                  <w:u w:val="single"/>
                </w:rPr>
                <w:t>兒童及少年保護通報及處理辦法</w:t>
              </w:r>
            </w:hyperlink>
            <w:r w:rsidR="0001352F" w:rsidRPr="004E6C91">
              <w:rPr>
                <w:rFonts w:ascii="新細明體" w:eastAsia="新細明體" w:hAnsi="新細明體" w:cs="新細明體"/>
                <w:b/>
                <w:bCs/>
                <w:color w:val="000000" w:themeColor="text1"/>
                <w:kern w:val="0"/>
                <w:szCs w:val="24"/>
              </w:rPr>
              <w:t>修正日期</w:t>
            </w:r>
            <w:r w:rsidR="0001352F" w:rsidRPr="004E6C91">
              <w:rPr>
                <w:rFonts w:ascii="新細明體" w:eastAsia="新細明體" w:hAnsi="新細明體" w:cs="新細明體"/>
                <w:color w:val="000000" w:themeColor="text1"/>
                <w:kern w:val="0"/>
                <w:szCs w:val="24"/>
              </w:rPr>
              <w:t>民國 101 年 05 月 30 日</w:t>
            </w:r>
          </w:p>
        </w:tc>
      </w:tr>
      <w:tr w:rsidR="004E6C91" w:rsidRPr="004E6C91" w:rsidTr="004E6C91">
        <w:trPr>
          <w:jc w:val="center"/>
        </w:trPr>
        <w:tc>
          <w:tcPr>
            <w:tcW w:w="650" w:type="pct"/>
            <w:noWrap/>
            <w:vAlign w:val="center"/>
            <w:hideMark/>
          </w:tcPr>
          <w:p w:rsidR="004E6C91" w:rsidRPr="004E6C91" w:rsidRDefault="004E6C91" w:rsidP="004E6C91">
            <w:pPr>
              <w:widowControl/>
              <w:jc w:val="center"/>
              <w:rPr>
                <w:rFonts w:ascii="新細明體" w:eastAsia="新細明體" w:hAnsi="新細明體" w:cs="新細明體"/>
                <w:b/>
                <w:bCs/>
                <w:color w:val="000000" w:themeColor="text1"/>
                <w:kern w:val="0"/>
                <w:szCs w:val="24"/>
              </w:rPr>
            </w:pPr>
          </w:p>
        </w:tc>
        <w:tc>
          <w:tcPr>
            <w:tcW w:w="4350" w:type="pct"/>
            <w:vAlign w:val="center"/>
            <w:hideMark/>
          </w:tcPr>
          <w:p w:rsidR="004E6C91" w:rsidRPr="004E6C91" w:rsidRDefault="004E6C91" w:rsidP="004E6C91">
            <w:pPr>
              <w:widowControl/>
              <w:rPr>
                <w:rFonts w:ascii="新細明體" w:eastAsia="新細明體" w:hAnsi="新細明體" w:cs="新細明體"/>
                <w:color w:val="000000" w:themeColor="text1"/>
                <w:kern w:val="0"/>
                <w:szCs w:val="24"/>
              </w:rPr>
            </w:pP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5" w:history="1">
              <w:r w:rsidRPr="007433A4">
                <w:rPr>
                  <w:rStyle w:val="a3"/>
                  <w:rFonts w:ascii="新細明體" w:eastAsia="新細明體" w:hAnsi="新細明體" w:cs="新細明體"/>
                  <w:b/>
                  <w:bCs/>
                  <w:color w:val="000000" w:themeColor="text1"/>
                  <w:kern w:val="0"/>
                  <w:szCs w:val="24"/>
                </w:rPr>
                <w:t>第 1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本辦法依兒童及少年福利與權益保障法（以下簡稱本法）第五十三條第四項規定訂定之。</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6" w:history="1">
              <w:r w:rsidRPr="007433A4">
                <w:rPr>
                  <w:rStyle w:val="a3"/>
                  <w:rFonts w:ascii="新細明體" w:eastAsia="新細明體" w:hAnsi="新細明體" w:cs="新細明體"/>
                  <w:b/>
                  <w:bCs/>
                  <w:color w:val="000000" w:themeColor="text1"/>
                  <w:kern w:val="0"/>
                  <w:szCs w:val="24"/>
                </w:rPr>
                <w:t>第 2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7433A4">
            <w:pPr>
              <w:widowControl/>
              <w:rPr>
                <w:rFonts w:ascii="新細明體" w:eastAsia="新細明體" w:hAnsi="新細明體" w:cs="新細明體" w:hint="eastAsia"/>
                <w:color w:val="000000" w:themeColor="text1"/>
                <w:kern w:val="0"/>
                <w:szCs w:val="24"/>
              </w:rPr>
            </w:pPr>
            <w:proofErr w:type="gramStart"/>
            <w:r w:rsidRPr="007433A4">
              <w:rPr>
                <w:rFonts w:ascii="新細明體" w:eastAsia="新細明體" w:hAnsi="新細明體" w:cs="新細明體" w:hint="eastAsia"/>
                <w:color w:val="000000" w:themeColor="text1"/>
                <w:kern w:val="0"/>
                <w:szCs w:val="24"/>
              </w:rPr>
              <w:t>醫</w:t>
            </w:r>
            <w:proofErr w:type="gramEnd"/>
            <w:r w:rsidRPr="007433A4">
              <w:rPr>
                <w:rFonts w:ascii="新細明體" w:eastAsia="新細明體" w:hAnsi="新細明體" w:cs="新細明體" w:hint="eastAsia"/>
                <w:color w:val="000000" w:themeColor="text1"/>
                <w:kern w:val="0"/>
                <w:szCs w:val="24"/>
              </w:rPr>
              <w:t>事人員、社會工作人員、教育人員、保育人員、警察、司法人員、村（里）幹事及其他執行兒童及少年福利業務人員，於執行業務時知悉有應保護之兒童及少年時，應立即填具通報表以網際網路、電信傳真或其他科技設備傳送等方式通報直轄市、縣（市）主管機關，至遲不得逾二十四小時；情況緊急時，得先以言詞、電話通訊方式通報，並於知悉起二十四小時內填具通報表，送直轄市、縣（市）主管機關。</w:t>
            </w:r>
          </w:p>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前項通報人員通報內容應包含通報事由、違反本法第五十三條第一項各款情形、兒童及少年基本資料及其他相關資訊。</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7" w:history="1">
              <w:r w:rsidRPr="007433A4">
                <w:rPr>
                  <w:rStyle w:val="a3"/>
                  <w:rFonts w:ascii="新細明體" w:eastAsia="新細明體" w:hAnsi="新細明體" w:cs="新細明體"/>
                  <w:b/>
                  <w:bCs/>
                  <w:color w:val="000000" w:themeColor="text1"/>
                  <w:kern w:val="0"/>
                  <w:szCs w:val="24"/>
                </w:rPr>
                <w:t>第 3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前條以外之任何人知悉有應保護之兒童及少年時，得以前條規定方式或其他任何方式通報直轄市、縣（市）主管機關。</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8" w:history="1">
              <w:r w:rsidRPr="007433A4">
                <w:rPr>
                  <w:rStyle w:val="a3"/>
                  <w:rFonts w:ascii="新細明體" w:eastAsia="新細明體" w:hAnsi="新細明體" w:cs="新細明體"/>
                  <w:b/>
                  <w:bCs/>
                  <w:color w:val="000000" w:themeColor="text1"/>
                  <w:kern w:val="0"/>
                  <w:szCs w:val="24"/>
                </w:rPr>
                <w:t>第 4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直轄市、縣（市）主管機關於知悉或接獲前二條通報時，應視需要立即指派社政、衛政、教育或警政單位等處理，至遲不得超過二十四小時。前項處理應以當面訪視到兒童及少年為原則。直轄市、縣（市）主管機關依第一項處理後，應指派社會工作人員訪視兒童及少年進行安全性評估，並於受理案件後上班日四日內提出調查報告。</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9" w:history="1">
              <w:r w:rsidRPr="007433A4">
                <w:rPr>
                  <w:rStyle w:val="a3"/>
                  <w:rFonts w:ascii="新細明體" w:eastAsia="新細明體" w:hAnsi="新細明體" w:cs="新細明體"/>
                  <w:b/>
                  <w:bCs/>
                  <w:color w:val="000000" w:themeColor="text1"/>
                  <w:kern w:val="0"/>
                  <w:szCs w:val="24"/>
                </w:rPr>
                <w:t>第 5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直轄市、縣（市）主管機關於知悉或接獲本法第五十三條第一項第一款及第二款情事之通報，應立即會同當地警察機關進行調查，並視案情需要，提供必要處理及協助。前項通報屬警察機關查獲之案件者，由直轄市、縣（市）主管機關</w:t>
            </w:r>
            <w:proofErr w:type="gramStart"/>
            <w:r w:rsidRPr="007433A4">
              <w:rPr>
                <w:rFonts w:ascii="新細明體" w:eastAsia="新細明體" w:hAnsi="新細明體" w:cs="新細明體" w:hint="eastAsia"/>
                <w:color w:val="000000" w:themeColor="text1"/>
                <w:kern w:val="0"/>
                <w:szCs w:val="24"/>
              </w:rPr>
              <w:t>逕</w:t>
            </w:r>
            <w:proofErr w:type="gramEnd"/>
            <w:r w:rsidRPr="007433A4">
              <w:rPr>
                <w:rFonts w:ascii="新細明體" w:eastAsia="新細明體" w:hAnsi="新細明體" w:cs="新細明體" w:hint="eastAsia"/>
                <w:color w:val="000000" w:themeColor="text1"/>
                <w:kern w:val="0"/>
                <w:szCs w:val="24"/>
              </w:rPr>
              <w:t>依本法第五十五條、第七十一條、第九十一條、第九十六條及第一百零二條規定辦理。</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0" w:history="1">
              <w:r w:rsidRPr="007433A4">
                <w:rPr>
                  <w:rStyle w:val="a3"/>
                  <w:rFonts w:ascii="新細明體" w:eastAsia="新細明體" w:hAnsi="新細明體" w:cs="新細明體"/>
                  <w:b/>
                  <w:bCs/>
                  <w:color w:val="000000" w:themeColor="text1"/>
                  <w:kern w:val="0"/>
                  <w:szCs w:val="24"/>
                </w:rPr>
                <w:t>第 6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兒童及少年依本法第五十六條第一項需緊急安置者，直轄市、縣（市）主管機關應以書面通報當地地方法院及警察機關，並通知兒童及少年之父母、監護人。但其無父母、監護人或通知顯有困難時，得不通知之。經直轄市、縣（市）主管機關緊急安置之兒童及少年為在學學生，應另以書面通知其學籍所在學校及教育主管機關。兒童及少年經法院裁定繼續安置</w:t>
            </w:r>
            <w:proofErr w:type="gramStart"/>
            <w:r w:rsidRPr="007433A4">
              <w:rPr>
                <w:rFonts w:ascii="新細明體" w:eastAsia="新細明體" w:hAnsi="新細明體" w:cs="新細明體" w:hint="eastAsia"/>
                <w:color w:val="000000" w:themeColor="text1"/>
                <w:kern w:val="0"/>
                <w:szCs w:val="24"/>
              </w:rPr>
              <w:t>期間，</w:t>
            </w:r>
            <w:proofErr w:type="gramEnd"/>
            <w:r w:rsidRPr="007433A4">
              <w:rPr>
                <w:rFonts w:ascii="新細明體" w:eastAsia="新細明體" w:hAnsi="新細明體" w:cs="新細明體" w:hint="eastAsia"/>
                <w:color w:val="000000" w:themeColor="text1"/>
                <w:kern w:val="0"/>
                <w:szCs w:val="24"/>
              </w:rPr>
              <w:t>依法執行監護事務之人應定期作成兒童及少年照顧輔導報告，送由直轄市、縣（市）主管機關按個案進展作成報告，送交地方法院備查。</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1" w:history="1">
              <w:r w:rsidRPr="007433A4">
                <w:rPr>
                  <w:rStyle w:val="a3"/>
                  <w:rFonts w:ascii="新細明體" w:eastAsia="新細明體" w:hAnsi="新細明體" w:cs="新細明體"/>
                  <w:b/>
                  <w:bCs/>
                  <w:color w:val="000000" w:themeColor="text1"/>
                  <w:kern w:val="0"/>
                  <w:szCs w:val="24"/>
                </w:rPr>
                <w:t>第 7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緊急安置之兒童及少年於七十二小時期限屆滿前，直轄市、縣（市）主管機關應評估繼續安置之必要性；其安置原因未消滅暫不適重返家庭者，得聲請法院裁定繼續安置；安置原因消滅時，應將兒童及少年交付其父母、監護人或其他實際照顧者。前項兒童及少年如為在學學</w:t>
            </w:r>
            <w:r w:rsidRPr="007433A4">
              <w:rPr>
                <w:rFonts w:ascii="新細明體" w:eastAsia="新細明體" w:hAnsi="新細明體" w:cs="新細明體" w:hint="eastAsia"/>
                <w:color w:val="000000" w:themeColor="text1"/>
                <w:kern w:val="0"/>
                <w:szCs w:val="24"/>
              </w:rPr>
              <w:lastRenderedPageBreak/>
              <w:t>生，直轄市、縣（市）主管機關應將安置情形或結果，以書面通知其學籍所在之學校及教育主管機關。</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2" w:history="1">
              <w:r w:rsidRPr="007433A4">
                <w:rPr>
                  <w:rStyle w:val="a3"/>
                  <w:rFonts w:ascii="新細明體" w:eastAsia="新細明體" w:hAnsi="新細明體" w:cs="新細明體"/>
                  <w:b/>
                  <w:bCs/>
                  <w:color w:val="000000" w:themeColor="text1"/>
                  <w:kern w:val="0"/>
                  <w:szCs w:val="24"/>
                </w:rPr>
                <w:t>第 8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緊急安置之兒童及少年在法院裁定繼續安置</w:t>
            </w:r>
            <w:proofErr w:type="gramStart"/>
            <w:r w:rsidRPr="007433A4">
              <w:rPr>
                <w:rFonts w:ascii="新細明體" w:eastAsia="新細明體" w:hAnsi="新細明體" w:cs="新細明體" w:hint="eastAsia"/>
                <w:color w:val="000000" w:themeColor="text1"/>
                <w:kern w:val="0"/>
                <w:szCs w:val="24"/>
              </w:rPr>
              <w:t>期間，</w:t>
            </w:r>
            <w:proofErr w:type="gramEnd"/>
            <w:r w:rsidRPr="007433A4">
              <w:rPr>
                <w:rFonts w:ascii="新細明體" w:eastAsia="新細明體" w:hAnsi="新細明體" w:cs="新細明體" w:hint="eastAsia"/>
                <w:color w:val="000000" w:themeColor="text1"/>
                <w:kern w:val="0"/>
                <w:szCs w:val="24"/>
              </w:rPr>
              <w:t>直轄市、縣（市）主管機關最遲應於安置期間期滿前十五日完成延長安置必要性之評估，其有延長安置之必要者，並應於期間屆滿前七日向法院提出聲請。聲請再延長安置者，亦同。</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3" w:history="1">
              <w:r w:rsidRPr="007433A4">
                <w:rPr>
                  <w:rStyle w:val="a3"/>
                  <w:rFonts w:ascii="新細明體" w:eastAsia="新細明體" w:hAnsi="新細明體" w:cs="新細明體"/>
                  <w:b/>
                  <w:bCs/>
                  <w:color w:val="000000" w:themeColor="text1"/>
                  <w:kern w:val="0"/>
                  <w:szCs w:val="24"/>
                </w:rPr>
                <w:t>第 9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直轄市、縣（市）主管機關對於安置期間期滿或撤銷安置之兒童及少年，應續予追蹤輔導至少一年，並定期作成追蹤輔導報告。</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4" w:history="1">
              <w:r w:rsidRPr="007433A4">
                <w:rPr>
                  <w:rStyle w:val="a3"/>
                  <w:rFonts w:ascii="新細明體" w:eastAsia="新細明體" w:hAnsi="新細明體" w:cs="新細明體"/>
                  <w:b/>
                  <w:bCs/>
                  <w:color w:val="000000" w:themeColor="text1"/>
                  <w:kern w:val="0"/>
                  <w:szCs w:val="24"/>
                </w:rPr>
                <w:t>第 10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直轄市、縣（市）主管機關依本法第六十四條第一項規定提出之兒童及少年家庭處遇計畫，應由社會工作人員實施個案管理，結合相關資源，提供兒童及少年及其家庭相關處遇服務。</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5" w:history="1">
              <w:r w:rsidRPr="007433A4">
                <w:rPr>
                  <w:rStyle w:val="a3"/>
                  <w:rFonts w:ascii="新細明體" w:eastAsia="新細明體" w:hAnsi="新細明體" w:cs="新細明體"/>
                  <w:b/>
                  <w:bCs/>
                  <w:color w:val="000000" w:themeColor="text1"/>
                  <w:kern w:val="0"/>
                  <w:szCs w:val="24"/>
                </w:rPr>
                <w:t>第 11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直轄市、縣（市）主管機關對於受安置之兒童及少年，依前條規定實施之家庭處遇計畫滿二年，經評估其家庭無法重建或重建無成效，致兒童及少年無法返家者，應依本法第六十五條規定，提出兒童及少年長期輔導計畫。前項長期輔導計畫應由社會工作人員實施個案管理，提供包括長期安置、永久安置、</w:t>
            </w:r>
            <w:proofErr w:type="gramStart"/>
            <w:r w:rsidRPr="007433A4">
              <w:rPr>
                <w:rFonts w:ascii="新細明體" w:eastAsia="新細明體" w:hAnsi="新細明體" w:cs="新細明體" w:hint="eastAsia"/>
                <w:color w:val="000000" w:themeColor="text1"/>
                <w:kern w:val="0"/>
                <w:szCs w:val="24"/>
              </w:rPr>
              <w:t>出養或少年</w:t>
            </w:r>
            <w:proofErr w:type="gramEnd"/>
            <w:r w:rsidRPr="007433A4">
              <w:rPr>
                <w:rFonts w:ascii="新細明體" w:eastAsia="新細明體" w:hAnsi="新細明體" w:cs="新細明體" w:hint="eastAsia"/>
                <w:color w:val="000000" w:themeColor="text1"/>
                <w:kern w:val="0"/>
                <w:szCs w:val="24"/>
              </w:rPr>
              <w:t>自立生活方案。</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6" w:history="1">
              <w:r w:rsidRPr="007433A4">
                <w:rPr>
                  <w:rStyle w:val="a3"/>
                  <w:rFonts w:ascii="新細明體" w:eastAsia="新細明體" w:hAnsi="新細明體" w:cs="新細明體"/>
                  <w:b/>
                  <w:bCs/>
                  <w:color w:val="000000" w:themeColor="text1"/>
                  <w:kern w:val="0"/>
                  <w:szCs w:val="24"/>
                </w:rPr>
                <w:t>第 12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依本辦法保護之兒童及少年轉學時，直轄市、縣（市）教育主管機關應予協助，必要時，得以不遷徙戶籍方式辦理轉學籍，兒童及少年轉出及轉入之學校應予配合，並注意個案身分資訊保密。</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7" w:history="1">
              <w:r w:rsidRPr="007433A4">
                <w:rPr>
                  <w:rStyle w:val="a3"/>
                  <w:rFonts w:ascii="新細明體" w:eastAsia="新細明體" w:hAnsi="新細明體" w:cs="新細明體"/>
                  <w:b/>
                  <w:bCs/>
                  <w:color w:val="000000" w:themeColor="text1"/>
                  <w:kern w:val="0"/>
                  <w:szCs w:val="24"/>
                </w:rPr>
                <w:t>第 13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7433A4">
            <w:pPr>
              <w:widowControl/>
              <w:rPr>
                <w:rFonts w:ascii="新細明體" w:eastAsia="新細明體" w:hAnsi="新細明體" w:cs="新細明體" w:hint="eastAsia"/>
                <w:color w:val="000000" w:themeColor="text1"/>
                <w:kern w:val="0"/>
                <w:szCs w:val="24"/>
              </w:rPr>
            </w:pPr>
            <w:r w:rsidRPr="007433A4">
              <w:rPr>
                <w:rFonts w:ascii="新細明體" w:eastAsia="新細明體" w:hAnsi="新細明體" w:cs="新細明體" w:hint="eastAsia"/>
                <w:color w:val="000000" w:themeColor="text1"/>
                <w:kern w:val="0"/>
                <w:szCs w:val="24"/>
              </w:rPr>
              <w:t>依本辦法保護之兒童及少年有適用家庭暴力防治法者，直轄市、縣（市）</w:t>
            </w:r>
          </w:p>
          <w:p w:rsidR="007433A4" w:rsidRPr="007433A4" w:rsidRDefault="007433A4" w:rsidP="007433A4">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主管機關得視兒童及少年需要代為其聲請民事保護令。</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8" w:history="1">
              <w:r w:rsidRPr="007433A4">
                <w:rPr>
                  <w:rStyle w:val="a3"/>
                  <w:rFonts w:ascii="新細明體" w:eastAsia="新細明體" w:hAnsi="新細明體" w:cs="新細明體"/>
                  <w:b/>
                  <w:bCs/>
                  <w:color w:val="000000" w:themeColor="text1"/>
                  <w:kern w:val="0"/>
                  <w:szCs w:val="24"/>
                </w:rPr>
                <w:t>第 14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第二條第一項情況緊急之通報案件，由兒童及少年所在地之直轄市、縣（市）主管機關處理。兒童及少年因移動或行蹤不明者，以受理通報在先之直轄市、縣（市）主管機關處理。前項以外之通報案件，由受理通報之直轄市、縣（市）主管機關處理。但同一兒童及少年通報案件有二以上直轄市、縣（市）主管機關受理通報者，以兒童及少年住居所在地之直轄市、縣（市）主管機關處理。通報案件依前二項處理後，得視案件需要，移轉由兒童及少年住居所在地之直轄市、縣（市）主管機關為後續處遇或輔導；兒童及少年無</w:t>
            </w:r>
            <w:proofErr w:type="gramStart"/>
            <w:r w:rsidRPr="007433A4">
              <w:rPr>
                <w:rFonts w:ascii="新細明體" w:eastAsia="新細明體" w:hAnsi="新細明體" w:cs="新細明體" w:hint="eastAsia"/>
                <w:color w:val="000000" w:themeColor="text1"/>
                <w:kern w:val="0"/>
                <w:szCs w:val="24"/>
              </w:rPr>
              <w:t>住居所者</w:t>
            </w:r>
            <w:proofErr w:type="gramEnd"/>
            <w:r w:rsidRPr="007433A4">
              <w:rPr>
                <w:rFonts w:ascii="新細明體" w:eastAsia="新細明體" w:hAnsi="新細明體" w:cs="新細明體" w:hint="eastAsia"/>
                <w:color w:val="000000" w:themeColor="text1"/>
                <w:kern w:val="0"/>
                <w:szCs w:val="24"/>
              </w:rPr>
              <w:t>，得移轉由兒童及少年所在地之直轄市、縣（市）主管機關為後續處遇或輔導。</w:t>
            </w:r>
          </w:p>
        </w:tc>
      </w:tr>
      <w:tr w:rsidR="007433A4" w:rsidRPr="007433A4" w:rsidTr="007433A4">
        <w:trPr>
          <w:jc w:val="center"/>
        </w:trPr>
        <w:tc>
          <w:tcPr>
            <w:tcW w:w="650" w:type="pct"/>
            <w:tcBorders>
              <w:top w:val="single" w:sz="4" w:space="0" w:color="auto"/>
              <w:left w:val="single" w:sz="4" w:space="0" w:color="auto"/>
              <w:bottom w:val="single" w:sz="4" w:space="0" w:color="auto"/>
              <w:right w:val="single" w:sz="4" w:space="0" w:color="auto"/>
            </w:tcBorders>
            <w:noWrap/>
            <w:vAlign w:val="center"/>
            <w:hideMark/>
          </w:tcPr>
          <w:p w:rsidR="007433A4" w:rsidRPr="007433A4" w:rsidRDefault="007433A4" w:rsidP="007433A4">
            <w:pPr>
              <w:widowControl/>
              <w:jc w:val="center"/>
              <w:rPr>
                <w:rFonts w:ascii="新細明體" w:eastAsia="新細明體" w:hAnsi="新細明體" w:cs="新細明體"/>
                <w:b/>
                <w:bCs/>
                <w:color w:val="000000" w:themeColor="text1"/>
                <w:kern w:val="0"/>
                <w:szCs w:val="24"/>
              </w:rPr>
            </w:pPr>
            <w:hyperlink r:id="rId19" w:history="1">
              <w:r w:rsidRPr="007433A4">
                <w:rPr>
                  <w:rStyle w:val="a3"/>
                  <w:rFonts w:ascii="新細明體" w:eastAsia="新細明體" w:hAnsi="新細明體" w:cs="新細明體"/>
                  <w:b/>
                  <w:bCs/>
                  <w:color w:val="000000" w:themeColor="text1"/>
                  <w:kern w:val="0"/>
                  <w:szCs w:val="24"/>
                </w:rPr>
                <w:t>第 15 條</w:t>
              </w:r>
            </w:hyperlink>
          </w:p>
        </w:tc>
        <w:tc>
          <w:tcPr>
            <w:tcW w:w="4350" w:type="pct"/>
            <w:tcBorders>
              <w:top w:val="single" w:sz="4" w:space="0" w:color="auto"/>
              <w:left w:val="single" w:sz="4" w:space="0" w:color="auto"/>
              <w:bottom w:val="single" w:sz="4" w:space="0" w:color="auto"/>
              <w:right w:val="single" w:sz="4" w:space="0" w:color="auto"/>
            </w:tcBorders>
            <w:vAlign w:val="center"/>
            <w:hideMark/>
          </w:tcPr>
          <w:p w:rsidR="007433A4" w:rsidRPr="007433A4" w:rsidRDefault="007433A4" w:rsidP="0001352F">
            <w:pPr>
              <w:widowControl/>
              <w:rPr>
                <w:rFonts w:ascii="新細明體" w:eastAsia="新細明體" w:hAnsi="新細明體" w:cs="新細明體"/>
                <w:color w:val="000000" w:themeColor="text1"/>
                <w:kern w:val="0"/>
                <w:szCs w:val="24"/>
              </w:rPr>
            </w:pPr>
            <w:r w:rsidRPr="007433A4">
              <w:rPr>
                <w:rFonts w:ascii="新細明體" w:eastAsia="新細明體" w:hAnsi="新細明體" w:cs="新細明體" w:hint="eastAsia"/>
                <w:color w:val="000000" w:themeColor="text1"/>
                <w:kern w:val="0"/>
                <w:szCs w:val="24"/>
              </w:rPr>
              <w:t>兒童及少年有本法第五十三條第一項情形者，於直轄市、縣（市）主管機關處理前，警察機關、兒童及少年福利機構、醫療院所或學校，應提供兒童及少年適當保護及照顧；其有接受診治之必要者，應立即送</w:t>
            </w:r>
            <w:proofErr w:type="gramStart"/>
            <w:r w:rsidRPr="007433A4">
              <w:rPr>
                <w:rFonts w:ascii="新細明體" w:eastAsia="新細明體" w:hAnsi="新細明體" w:cs="新細明體" w:hint="eastAsia"/>
                <w:color w:val="000000" w:themeColor="text1"/>
                <w:kern w:val="0"/>
                <w:szCs w:val="24"/>
              </w:rPr>
              <w:t>醫</w:t>
            </w:r>
            <w:proofErr w:type="gramEnd"/>
            <w:r w:rsidRPr="007433A4">
              <w:rPr>
                <w:rFonts w:ascii="新細明體" w:eastAsia="新細明體" w:hAnsi="新細明體" w:cs="新細明體" w:hint="eastAsia"/>
                <w:color w:val="000000" w:themeColor="text1"/>
                <w:kern w:val="0"/>
                <w:szCs w:val="24"/>
              </w:rPr>
              <w:t>；其有觸犯刑罰法律之行為或觸犯之虞，或有被害情形者，應通報警察機關，警察機關經查處將案件移送司法機關者，並應通知直轄市、縣（市）主管機關。</w:t>
            </w:r>
          </w:p>
        </w:tc>
      </w:tr>
    </w:tbl>
    <w:p w:rsidR="007934FB" w:rsidRDefault="007934FB" w:rsidP="0001352F"/>
    <w:sectPr w:rsidR="007934FB" w:rsidSect="00BB763E">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34FB"/>
    <w:rsid w:val="0001352F"/>
    <w:rsid w:val="004E6C91"/>
    <w:rsid w:val="007433A4"/>
    <w:rsid w:val="007934FB"/>
    <w:rsid w:val="00BB763E"/>
    <w:rsid w:val="00FA21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6C91"/>
    <w:rPr>
      <w:color w:val="0000FF"/>
      <w:u w:val="single"/>
    </w:rPr>
  </w:style>
  <w:style w:type="paragraph" w:styleId="a4">
    <w:name w:val="Balloon Text"/>
    <w:basedOn w:val="a"/>
    <w:link w:val="a5"/>
    <w:uiPriority w:val="99"/>
    <w:semiHidden/>
    <w:unhideWhenUsed/>
    <w:rsid w:val="004E6C9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E6C91"/>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433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433A4"/>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34956689">
      <w:bodyDiv w:val="1"/>
      <w:marLeft w:val="0"/>
      <w:marRight w:val="0"/>
      <w:marTop w:val="0"/>
      <w:marBottom w:val="0"/>
      <w:divBdr>
        <w:top w:val="none" w:sz="0" w:space="0" w:color="auto"/>
        <w:left w:val="none" w:sz="0" w:space="0" w:color="auto"/>
        <w:bottom w:val="none" w:sz="0" w:space="0" w:color="auto"/>
        <w:right w:val="none" w:sz="0" w:space="0" w:color="auto"/>
      </w:divBdr>
      <w:divsChild>
        <w:div w:id="1949772526">
          <w:marLeft w:val="0"/>
          <w:marRight w:val="0"/>
          <w:marTop w:val="0"/>
          <w:marBottom w:val="0"/>
          <w:divBdr>
            <w:top w:val="none" w:sz="0" w:space="0" w:color="auto"/>
            <w:left w:val="none" w:sz="0" w:space="0" w:color="auto"/>
            <w:bottom w:val="none" w:sz="0" w:space="0" w:color="auto"/>
            <w:right w:val="none" w:sz="0" w:space="0" w:color="auto"/>
          </w:divBdr>
          <w:divsChild>
            <w:div w:id="2049068838">
              <w:marLeft w:val="0"/>
              <w:marRight w:val="0"/>
              <w:marTop w:val="0"/>
              <w:marBottom w:val="0"/>
              <w:divBdr>
                <w:top w:val="none" w:sz="0" w:space="0" w:color="auto"/>
                <w:left w:val="none" w:sz="0" w:space="0" w:color="auto"/>
                <w:bottom w:val="none" w:sz="0" w:space="0" w:color="auto"/>
                <w:right w:val="none" w:sz="0" w:space="0" w:color="auto"/>
              </w:divBdr>
              <w:divsChild>
                <w:div w:id="1632247810">
                  <w:marLeft w:val="0"/>
                  <w:marRight w:val="0"/>
                  <w:marTop w:val="0"/>
                  <w:marBottom w:val="0"/>
                  <w:divBdr>
                    <w:top w:val="none" w:sz="0" w:space="0" w:color="auto"/>
                    <w:left w:val="none" w:sz="0" w:space="0" w:color="auto"/>
                    <w:bottom w:val="none" w:sz="0" w:space="0" w:color="auto"/>
                    <w:right w:val="none" w:sz="0" w:space="0" w:color="auto"/>
                  </w:divBdr>
                  <w:divsChild>
                    <w:div w:id="18018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0283">
      <w:bodyDiv w:val="1"/>
      <w:marLeft w:val="0"/>
      <w:marRight w:val="0"/>
      <w:marTop w:val="0"/>
      <w:marBottom w:val="0"/>
      <w:divBdr>
        <w:top w:val="none" w:sz="0" w:space="0" w:color="auto"/>
        <w:left w:val="none" w:sz="0" w:space="0" w:color="auto"/>
        <w:bottom w:val="none" w:sz="0" w:space="0" w:color="auto"/>
        <w:right w:val="none" w:sz="0" w:space="0" w:color="auto"/>
      </w:divBdr>
      <w:divsChild>
        <w:div w:id="1581595566">
          <w:marLeft w:val="0"/>
          <w:marRight w:val="0"/>
          <w:marTop w:val="0"/>
          <w:marBottom w:val="0"/>
          <w:divBdr>
            <w:top w:val="none" w:sz="0" w:space="0" w:color="auto"/>
            <w:left w:val="none" w:sz="0" w:space="0" w:color="auto"/>
            <w:bottom w:val="none" w:sz="0" w:space="0" w:color="auto"/>
            <w:right w:val="none" w:sz="0" w:space="0" w:color="auto"/>
          </w:divBdr>
          <w:divsChild>
            <w:div w:id="778141093">
              <w:marLeft w:val="0"/>
              <w:marRight w:val="0"/>
              <w:marTop w:val="0"/>
              <w:marBottom w:val="0"/>
              <w:divBdr>
                <w:top w:val="none" w:sz="0" w:space="0" w:color="auto"/>
                <w:left w:val="none" w:sz="0" w:space="0" w:color="auto"/>
                <w:bottom w:val="none" w:sz="0" w:space="0" w:color="auto"/>
                <w:right w:val="none" w:sz="0" w:space="0" w:color="auto"/>
              </w:divBdr>
              <w:divsChild>
                <w:div w:id="1595623647">
                  <w:marLeft w:val="0"/>
                  <w:marRight w:val="0"/>
                  <w:marTop w:val="0"/>
                  <w:marBottom w:val="0"/>
                  <w:divBdr>
                    <w:top w:val="none" w:sz="0" w:space="0" w:color="auto"/>
                    <w:left w:val="none" w:sz="0" w:space="0" w:color="auto"/>
                    <w:bottom w:val="none" w:sz="0" w:space="0" w:color="auto"/>
                    <w:right w:val="none" w:sz="0" w:space="0" w:color="auto"/>
                  </w:divBdr>
                  <w:divsChild>
                    <w:div w:id="20071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D0050009&amp;FLNO=4" TargetMode="External"/><Relationship Id="rId13" Type="http://schemas.openxmlformats.org/officeDocument/2006/relationships/hyperlink" Target="http://law.moj.gov.tw/LawClass/LawSingle.aspx?Pcode=D0050009&amp;FLNO=9" TargetMode="External"/><Relationship Id="rId18" Type="http://schemas.openxmlformats.org/officeDocument/2006/relationships/hyperlink" Target="http://law.moj.gov.tw/LawClass/LawSingle.aspx?Pcode=D0050009&amp;FLNO=1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aw.moj.gov.tw/LawClass/LawSingle.aspx?Pcode=D0050009&amp;FLNO=3" TargetMode="External"/><Relationship Id="rId12" Type="http://schemas.openxmlformats.org/officeDocument/2006/relationships/hyperlink" Target="http://law.moj.gov.tw/LawClass/LawSingle.aspx?Pcode=D0050009&amp;FLNO=8" TargetMode="External"/><Relationship Id="rId17" Type="http://schemas.openxmlformats.org/officeDocument/2006/relationships/hyperlink" Target="http://law.moj.gov.tw/LawClass/LawSingle.aspx?Pcode=D0050009&amp;FLNO=13" TargetMode="External"/><Relationship Id="rId2" Type="http://schemas.openxmlformats.org/officeDocument/2006/relationships/settings" Target="settings.xml"/><Relationship Id="rId16" Type="http://schemas.openxmlformats.org/officeDocument/2006/relationships/hyperlink" Target="http://law.moj.gov.tw/LawClass/LawSingle.aspx?Pcode=D0050009&amp;FLNO=1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w.moj.gov.tw/LawClass/LawSingle.aspx?Pcode=D0050009&amp;FLNO=2" TargetMode="External"/><Relationship Id="rId11" Type="http://schemas.openxmlformats.org/officeDocument/2006/relationships/hyperlink" Target="http://law.moj.gov.tw/LawClass/LawSingle.aspx?Pcode=D0050009&amp;FLNO=7" TargetMode="External"/><Relationship Id="rId5" Type="http://schemas.openxmlformats.org/officeDocument/2006/relationships/hyperlink" Target="http://law.moj.gov.tw/LawClass/LawSingle.aspx?Pcode=D0050009&amp;FLNO=1" TargetMode="External"/><Relationship Id="rId15" Type="http://schemas.openxmlformats.org/officeDocument/2006/relationships/hyperlink" Target="http://law.moj.gov.tw/LawClass/LawSingle.aspx?Pcode=D0050009&amp;FLNO=11" TargetMode="External"/><Relationship Id="rId10" Type="http://schemas.openxmlformats.org/officeDocument/2006/relationships/hyperlink" Target="http://law.moj.gov.tw/LawClass/LawSingle.aspx?Pcode=D0050009&amp;FLNO=6" TargetMode="External"/><Relationship Id="rId19" Type="http://schemas.openxmlformats.org/officeDocument/2006/relationships/hyperlink" Target="http://law.moj.gov.tw/LawClass/LawSingle.aspx?Pcode=D0050009&amp;FLNO=15" TargetMode="External"/><Relationship Id="rId4" Type="http://schemas.openxmlformats.org/officeDocument/2006/relationships/hyperlink" Target="http://law.moj.gov.tw/LawClass/LawContent.aspx?PCODE=D0050009" TargetMode="External"/><Relationship Id="rId9" Type="http://schemas.openxmlformats.org/officeDocument/2006/relationships/hyperlink" Target="http://law.moj.gov.tw/LawClass/LawSingle.aspx?Pcode=D0050009&amp;FLNO=5" TargetMode="External"/><Relationship Id="rId14" Type="http://schemas.openxmlformats.org/officeDocument/2006/relationships/hyperlink" Target="http://law.moj.gov.tw/LawClass/LawSingle.aspx?Pcode=D0050009&amp;FLNO=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c:creator>
  <cp:lastModifiedBy>kk</cp:lastModifiedBy>
  <cp:revision>4</cp:revision>
  <dcterms:created xsi:type="dcterms:W3CDTF">2012-06-27T06:25:00Z</dcterms:created>
  <dcterms:modified xsi:type="dcterms:W3CDTF">2012-06-27T06:30:00Z</dcterms:modified>
</cp:coreProperties>
</file>