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3E" w:rsidRDefault="00107A06">
      <w:pPr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</w:pPr>
      <w:hyperlink r:id="rId6" w:history="1">
        <w:r w:rsidR="007D584F" w:rsidRPr="007D584F">
          <w:rPr>
            <w:rFonts w:ascii="新細明體" w:eastAsia="新細明體" w:hAnsi="新細明體" w:cs="新細明體"/>
            <w:color w:val="000000" w:themeColor="text1"/>
            <w:kern w:val="0"/>
            <w:szCs w:val="24"/>
          </w:rPr>
          <w:t>性別工作平等法</w:t>
        </w:r>
      </w:hyperlink>
      <w:r w:rsidR="007D584F" w:rsidRPr="007D584F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(10</w:t>
      </w:r>
      <w:r w:rsidR="000025E2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3</w:t>
      </w:r>
      <w:r w:rsidR="007D584F" w:rsidRPr="007D584F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.1</w:t>
      </w:r>
      <w:r w:rsidR="00D20FC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2</w:t>
      </w:r>
      <w:r w:rsidR="007D584F" w:rsidRPr="007D584F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.</w:t>
      </w:r>
      <w:r w:rsidR="00D20FCE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11</w:t>
      </w:r>
      <w:r w:rsidR="007D584F" w:rsidRPr="007D584F">
        <w:rPr>
          <w:rFonts w:ascii="新細明體" w:eastAsia="新細明體" w:hAnsi="新細明體" w:cs="新細明體" w:hint="eastAsia"/>
          <w:color w:val="000000" w:themeColor="text1"/>
          <w:kern w:val="0"/>
          <w:szCs w:val="24"/>
        </w:rPr>
        <w:t>修正</w:t>
      </w:r>
      <w:r w:rsidR="007D584F" w:rsidRPr="007D584F">
        <w:rPr>
          <w:rFonts w:ascii="新細明體" w:eastAsia="新細明體" w:hAnsi="新細明體" w:cs="新細明體"/>
          <w:color w:val="000000" w:themeColor="text1"/>
          <w:kern w:val="0"/>
          <w:szCs w:val="24"/>
        </w:rPr>
        <w:t>)</w:t>
      </w:r>
    </w:p>
    <w:tbl>
      <w:tblPr>
        <w:tblW w:w="5509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4"/>
        <w:gridCol w:w="8019"/>
      </w:tblGrid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7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為保障性別工作權之平等，貫徹憲法消除性別歧視、促進性別地位實質平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等之精神，爰制定本法。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8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雇主與受僱者之約定優於本法者，從其約定。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本法於公務人員、教育人員及軍職人員，亦適用之。但第三十三條、第三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十四條、第三十八條及第三十八條之一之規定，不在此限。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公務人員、教育人員及軍職人員之申訴、救濟及處理程序，依各該人事法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令之規定。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本法於雇主依勞動基準法規定招收之技術生及準用技術生規定者，除適用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高級中等學校建教合作實施及建教生權益保障法規定之建教生外，亦適用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之。但第十六條及第十七條之規定，不在此限。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實習生於實習期間遭受性騷擾時，適用本法之規定。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9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本法用詞，定義如下：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一、受僱者：指受雇主僱用從事工作獲致薪資者。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二、求職者：指向雇主應徵工作之人。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三、雇主：指僱用受僱者之人、公私立機構或機關。代表雇主行使管理權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之人或代表雇主處理有關受僱者事務之人，視同雇主。要派單位使用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派遣勞工時，視為第八條、第九條、第十二條、第十三條、第十八條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、第十九條及第三十六條規定之雇主。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四、實習生：指公立或經立案之私立高級中等以上學校修習校外實習課程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之學生。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五、要派單位：指依據要派契約，實際指揮監督管理派遣勞工從事工作者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六、派遣勞工：指受派遣事業單位僱用，並向要派單位提供勞務者。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七、派遣事業單位：指從事勞動派遣業務之事業單位。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八、薪資：指受僱者因工作而獲得之報酬；包括薪資、薪金及按計時、計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日、計月、計件以現金或實物等方式給付之獎金、津貼及其他任何名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義之經常性給與。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九、復職：指回復受僱者申請育嬰留職停薪時之原有工作。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0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4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本法所稱主管機關：在中央為勞動部；在直轄市為直轄市政府；在縣（市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）為縣（市）政府。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本法所定事項，涉及各目的事業主管機關職掌者，由各該目的事業主管機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關辦理。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1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5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為審議、諮詢及促進性別工作平等事項，各級主管機關應設性別工作平等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會。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前項性別工作平等會應置委員五人至十一人，任期兩年，由具備勞工事務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、性別問題之相關學識經驗或法律專業人士擔任之，其中經勞工團體、女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性團體推薦之委員各二人，女性委員人數應占全體委員人數二分之一以上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前項性別工作平等會組織、會議及其他相關事項，由各級主管機關另定之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地方主管機關如設有就業歧視評議委員會，亦得由該委員會處理相關事宜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。該會之組成應符合第二項之規定。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2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6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直轄市及縣（市）主管機關為婦女就業之需要應編列經費，辦理各類職業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訓練、就業服務及再就業訓練，並於該期間提供或設置托兒、托老及相關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福利設施，以促進性別工作平等。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中央主管機關對直轄市及縣（市）主管機關辦理前項職業訓練、就業服務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及再就業訓練，並於該期間提供或設置托兒、托老及相關福利措施，得給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予經費補助。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3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6-1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主管機關應就本法所訂之性別、性傾向歧視之禁止、性騷擾之防治及促進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工作平等措施納入勞動檢查項目。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4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7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雇主對求職者或受僱者之招募、甄試、進用、分發、配置、考績或陞遷等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，不得因性別或性傾向而有差別待遇。但工作性質僅適合特定性別者，不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在此限。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5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8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雇主為受僱者舉辦或提供教育、訓練或其他類似活動，不得因性別或性傾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向而有差別待遇。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6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9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雇主為受僱者舉辦或提供各項福利措施，不得因性別或性傾向而有差別待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遇。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7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10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雇主對受僱者薪資之給付，不得因性別或性傾向而有差別待遇；其工作或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價值相同者，應給付同等薪資。但基於年資、獎懲、績效或其他非因性別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或性傾向因素之正當理由者，不在此限。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雇主不得以降低其他受僱者薪資之方式，規避前項之規定。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8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11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雇主對受僱者之退休、資遣、離職及解僱，不得因性別或性傾向而有差別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待遇。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工作規則、勞動契約或團體協約，不得規定或事先約定受僱者有結婚、懷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孕、分娩或育兒之情事時，應行離職或留職停薪；亦不得以其為解僱之理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由。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違反前二項規定者，其規定或約定無效；勞動契約之終止不生效力。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19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12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本法所稱性騷擾，謂下列二款情形之一：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一、受僱者於執行職務時，任何人以性要求、具有性意味或性別歧視之言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詞或行為，對其造成敵意性、脅迫性或冒犯性之工作環境，致侵犯或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干擾其人格尊嚴、人身自由或影響其工作表現。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二、雇主對受僱者或求職者為明示或暗示之性要求、具有性意味或性別歧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視之言詞或行為，作為勞務契約成立、存續、變更或分發、配置、報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 xml:space="preserve">    酬、考績、陞遷、降調、獎懲等之交換條件。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前項性騷擾之認定，應就個案審酌事件發生之背景、工作環境、當事人之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lastRenderedPageBreak/>
              <w:t>關係、行為人之言詞、行為及相對人之認知等具體事實為之。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0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13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雇主應防治性騷擾行為之發生。其僱用受僱者三十人以上者，應訂定性騷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擾防治措施、申訴及懲戒辦法，並在工作場所公開揭示。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雇主於知悉前條性騷擾之情形時，應採取立即有效之糾正及補救措施。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第一項性騷擾防治措施、申訴及懲戒辦法之相關準則，由中央主管機關定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之。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1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14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女性受僱者因生理日致工作有困難者，每月得請生理假一日，全年請假日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數未逾三日，不併入病假計算，其餘日數併入病假計算。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前項併入及不併入病假之生理假薪資，減半發給。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2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15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雇主於女性受僱者分娩前後，應使其停止工作，給予產假八星期；妊娠三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個月以上流產者，應使其停止工作，給予產假四星期；妊娠二個月以上未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滿三個月流產者，應使其停止工作，給予產假一星期；妊娠未滿二個月流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產者，應使其停止工作，給予產假五日。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產假期間薪資之計算，依相關法令之規定。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受僱者經醫師診斷需安胎休養者，其治療、照護或休養期間之請假及薪資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計算，依相關法令之規定。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受僱者妊娠期間，雇主應給予產檢假五日。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受僱者於其配偶分娩時，雇主應給予陪產假五日。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產檢假及陪產假期間，薪資照給。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3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16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受僱者任職滿六個月後，於每一子女滿三歲前，得申請育嬰留職停薪，期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間至該子女滿三歲止，但不得逾二年。同時撫育子女二人以上者，其育嬰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留職停薪期間應合併計算，最長以最幼子女受撫育二年為限。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受僱者於育嬰留職停薪期間，得繼續參加原有之社會保險，原由雇主負擔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之保險費，免予繳納；原由受僱者負擔之保險費，得遞延三年繳納。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依家事事件法、兒童及少年福利與權益保障法相關規定與收養兒童先行共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同生活之受僱者，其共同生活期間得依第一項規定申請育嬰留職停薪。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育嬰留職停薪津貼之發放，另以法律定之。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育嬰留職停薪實施辦法，由中央主管機關定之。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4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17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前條受僱者於育嬰留職停薪期滿後，申請復職時，除有下列情形之一，並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經主管機關同意者外，雇主不得拒絕：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一、歇業、虧損或業務緊縮者。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二、雇主依法變更組織、解散或轉讓者。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三、不可抗力暫停工作在一個月以上者。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四、業務性質變更，有減少受僱者之必要，又無適當工作可供安置者。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雇主因前項各款原因未能使受僱者復職時，應於三十日前通知之，並應依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法定標準發給資遣費或退休金。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5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18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子女未滿一歲須受僱者親自哺乳者，除規定之休息時間外，雇主應每日另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給哺乳時間二次，每次以三十分鐘為度。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前項哺乳時間，視為工作時間。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6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19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受僱於僱用三十人以上雇主之受僱者，為撫育未滿三歲子女，得向雇主請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求為下列二款事項之一：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一、每天減少工作時間一小時；減少之工作時間，不得請求報酬。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二、調整工作時間。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7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20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受僱者於其家庭成員預防接種、發生嚴重之疾病或其他重大事故須親自照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顧時，得請家庭照顧假；其請假日數併入事假計算，全年以七日為限。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家庭照顧假薪資之計算，依各該事假規定辦理。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8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21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受僱者依前七條之規定為請求時，雇主不得拒絕。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受僱者為前項之請求時，雇主不得視為缺勤而影響其全勤獎金、考績或為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其他不利之處分。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29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22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受僱者之配偶未就業者，不適用第十六條及第二十條之規定。但有正當理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由者，不在此限。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0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23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僱用受僱者二百五十人以上之雇主，應提供下列設施、措施：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一、哺（集）乳室。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二、托兒設施或適當之托兒措施。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主管機關對於雇主設置哺（集）乳室、托兒設施或提供托兒措施，應給予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經費補助。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有關哺（集）乳室、托兒設施、措施之設置標準及經費補助辦法，由中央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主管機關會商有關機關定之。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1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24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主管機關為協助因結婚、懷孕、分娩、育兒或照顧家庭而離職之受僱者獲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得再就業之機會，應採取就業服務、職業訓練及其他必要之措施。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2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25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雇主僱用因結婚、懷孕、分娩、育兒或照顧家庭而離職之受僱者成效卓著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者，主管機關得給予適當之獎勵。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3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26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受僱者或求職者因第七條至第十一條或第二十一條之情事，受有損害者，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雇主應負賠償責任。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4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27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受僱者或求職者因第十二條之情事，受有損害者，由雇主及行為人連帶負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損害賠償責任。但雇主證明其已遵行本法所定之各種防治性騷擾之規定，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且對該事情之發生已盡力防止仍不免發生者，雇主不負賠償責任。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如被害人依前項但書之規定不能受損害賠償時，法院因其聲請，得斟酌雇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主與被害人之經濟狀況，令雇主為全部或一部之損害賠償。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雇主賠償損害時，對於為性騷擾之行為人，有求償權。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5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28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受僱者或求職者因雇主違反第十三條第二項之義務，受有損害者，雇主應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負賠償責任。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6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29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前三條情形，受僱者或求職者雖非財產上之損害，亦得請求賠償相當之金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lastRenderedPageBreak/>
              <w:t>額。其名譽被侵害者，並得請求回復名譽之適當處分。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7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30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第二十六條至第二十八條之損害賠償請求權，自請求權人知有損害及賠償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義務人時起，二年間不行使而消滅。自有性騷擾行為或違反各該規定之行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為時起，逾十年者，亦同。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8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31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受僱者或求職者於釋明差別待遇之事實後，雇主應就差別待遇之非性別、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性傾向因素，或該受僱者或求職者所從事工作之特定性別因素，負舉證責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任。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39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32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</w:pPr>
            <w:r>
              <w:rPr>
                <w:rFonts w:hint="eastAsia"/>
              </w:rPr>
              <w:t>雇主為處理受僱者之申訴，得建立申訴制度協調處理。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0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33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受僱者發現雇主違反第十四條至第二十條之規定時，得向地方主管機關申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訴。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其向中央主管機關提出者，中央主管機關應於收受申訴案件，或發現有上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開違反情事之日起七日內，移送地方主管機關。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地方主管機關應於接獲申訴後七日內展開調查，並得依職權對雙方當事人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進行協調。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前項申訴處理辦法，由地方主管機關定之。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1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34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受僱者或求職者發現雇主違反第七條至第十一條、第十三條、第二十一條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或第三十六條規定時，向地方主管機關申訴後，雇主、受僱者或求職者對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於地方主管機關所為之處分有異議時，得於十日內向中央主管機關性別工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作平等會申請審議或逕行提起訴願。雇主、受僱者或求職者對於中央主管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機關性別工作平等會所為之處分有異議時，得依訴願及行政訴訟程序，提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起訴願及進行行政訴訟。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前項申訴審議處理辦法，由中央主管機關定之。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2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35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法院及主管機關對差別待遇事實之認定，應審酌性別工作平等會所為之調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查報告、評議或處分。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3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36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雇主不得因受僱者提出本法之申訴或協助他人申訴，而予以解僱、調職或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其他不利之處分。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4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37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受僱者或求職者因雇主違反本法之規定，而向法院提出訴訟時，主管機關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應提供必要之法律扶助。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前項法律扶助辦法，由中央主管機關定之。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受僱者或求職者為第一項訴訟而聲請保全處分時，法院得減少或免除供擔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保之金額。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5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38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雇主違反第二十一條或第三十六條規定者，處新臺幣二萬元以上三十萬元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以下罰鍰。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有前項規定行為之一者，應公布其姓名或名稱、負責人姓名，並限期令其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改善；屆期未改善者，應按次處罰。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6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38-1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雇主違反第七條至第十條、第十一條第一項、第二項者，處新臺幣三十萬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元以上一百五十萬元以下罰鍰。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雇主違反第十三條第一項後段、第二項規定者，處新臺幣十萬元以上五十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萬元以下罰鍰。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有前二項規定行為之一者，應公布其姓名或名稱、負責人姓名，並限期令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其改善；屆期未改善者，應按次處罰。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7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39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</w:pPr>
            <w:r>
              <w:rPr>
                <w:rFonts w:hint="eastAsia"/>
              </w:rPr>
              <w:t>本法施行細則，由中央主管機關定之。</w:t>
            </w:r>
          </w:p>
        </w:tc>
      </w:tr>
      <w:tr w:rsidR="000025E2" w:rsidTr="000025E2">
        <w:trPr>
          <w:tblCellSpacing w:w="15" w:type="dxa"/>
          <w:jc w:val="center"/>
        </w:trPr>
        <w:tc>
          <w:tcPr>
            <w:tcW w:w="542" w:type="pct"/>
            <w:noWrap/>
            <w:vAlign w:val="center"/>
            <w:hideMark/>
          </w:tcPr>
          <w:p w:rsidR="000025E2" w:rsidRDefault="000025E2">
            <w:pPr>
              <w:rPr>
                <w:rFonts w:ascii="新細明體" w:eastAsia="新細明體" w:hAnsi="新細明體" w:cs="新細明體"/>
                <w:szCs w:val="24"/>
              </w:rPr>
            </w:pPr>
            <w:hyperlink r:id="rId48" w:history="1">
              <w:r>
                <w:rPr>
                  <w:rStyle w:val="a3"/>
                </w:rPr>
                <w:t>第</w:t>
              </w:r>
              <w:r>
                <w:rPr>
                  <w:rStyle w:val="a3"/>
                </w:rPr>
                <w:t xml:space="preserve"> 40 </w:t>
              </w:r>
              <w:r>
                <w:rPr>
                  <w:rStyle w:val="a3"/>
                </w:rPr>
                <w:t>條</w:t>
              </w:r>
            </w:hyperlink>
          </w:p>
        </w:tc>
        <w:tc>
          <w:tcPr>
            <w:tcW w:w="4409" w:type="pct"/>
            <w:vAlign w:val="center"/>
            <w:hideMark/>
          </w:tcPr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本法自中華民國九十一年三月八日施行。</w:t>
            </w:r>
          </w:p>
          <w:p w:rsidR="000025E2" w:rsidRDefault="000025E2">
            <w:pPr>
              <w:pStyle w:val="HTML"/>
              <w:rPr>
                <w:rFonts w:hint="eastAsia"/>
              </w:rPr>
            </w:pPr>
            <w:r>
              <w:rPr>
                <w:rFonts w:hint="eastAsia"/>
              </w:rPr>
              <w:t>本法修正條文，除中華民國九十六年十二月十九日修正之第十六條施行日</w:t>
            </w:r>
          </w:p>
          <w:p w:rsidR="000025E2" w:rsidRDefault="000025E2">
            <w:pPr>
              <w:pStyle w:val="HTML"/>
            </w:pPr>
            <w:r>
              <w:rPr>
                <w:rFonts w:hint="eastAsia"/>
              </w:rPr>
              <w:t>期由行政院定之者外，自公布日施行。</w:t>
            </w:r>
          </w:p>
        </w:tc>
      </w:tr>
    </w:tbl>
    <w:p w:rsidR="007D584F" w:rsidRDefault="007D584F" w:rsidP="000025E2"/>
    <w:sectPr w:rsidR="007D584F" w:rsidSect="00BB76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FCE" w:rsidRDefault="00D20FCE" w:rsidP="00D20FCE">
      <w:r>
        <w:separator/>
      </w:r>
    </w:p>
  </w:endnote>
  <w:endnote w:type="continuationSeparator" w:id="0">
    <w:p w:rsidR="00D20FCE" w:rsidRDefault="00D20FCE" w:rsidP="00D2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FCE" w:rsidRDefault="00D20FCE" w:rsidP="00D20FCE">
      <w:r>
        <w:separator/>
      </w:r>
    </w:p>
  </w:footnote>
  <w:footnote w:type="continuationSeparator" w:id="0">
    <w:p w:rsidR="00D20FCE" w:rsidRDefault="00D20FCE" w:rsidP="00D20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584F"/>
    <w:rsid w:val="000025E2"/>
    <w:rsid w:val="00055B61"/>
    <w:rsid w:val="00107A06"/>
    <w:rsid w:val="00354569"/>
    <w:rsid w:val="004C6A9F"/>
    <w:rsid w:val="005A3042"/>
    <w:rsid w:val="007D584F"/>
    <w:rsid w:val="00BB763E"/>
    <w:rsid w:val="00C060E2"/>
    <w:rsid w:val="00C17EF9"/>
    <w:rsid w:val="00D20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8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5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D584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C17EF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17EF9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2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20FCE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20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20F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37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aw.moj.gov.tw/LawClass/LawSingleIf.aspx?Pcode=N0030014&amp;FLNO=6-1%20%20%20" TargetMode="External"/><Relationship Id="rId18" Type="http://schemas.openxmlformats.org/officeDocument/2006/relationships/hyperlink" Target="http://law.moj.gov.tw/LawClass/LawSingleIf.aspx?Pcode=N0030014&amp;FLNO=11%20%20%20%20" TargetMode="External"/><Relationship Id="rId26" Type="http://schemas.openxmlformats.org/officeDocument/2006/relationships/hyperlink" Target="http://law.moj.gov.tw/LawClass/LawSingleIf.aspx?Pcode=N0030014&amp;FLNO=19%20%20%20%20" TargetMode="External"/><Relationship Id="rId39" Type="http://schemas.openxmlformats.org/officeDocument/2006/relationships/hyperlink" Target="http://law.moj.gov.tw/LawClass/LawSingleIf.aspx?Pcode=N0030014&amp;FLNO=32%20%20%20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aw.moj.gov.tw/LawClass/LawSingleIf.aspx?Pcode=N0030014&amp;FLNO=14%20%20%20%20" TargetMode="External"/><Relationship Id="rId34" Type="http://schemas.openxmlformats.org/officeDocument/2006/relationships/hyperlink" Target="http://law.moj.gov.tw/LawClass/LawSingleIf.aspx?Pcode=N0030014&amp;FLNO=27%20%20%20%20" TargetMode="External"/><Relationship Id="rId42" Type="http://schemas.openxmlformats.org/officeDocument/2006/relationships/hyperlink" Target="http://law.moj.gov.tw/LawClass/LawSingleIf.aspx?Pcode=N0030014&amp;FLNO=35%20%20%20%20" TargetMode="External"/><Relationship Id="rId47" Type="http://schemas.openxmlformats.org/officeDocument/2006/relationships/hyperlink" Target="http://law.moj.gov.tw/LawClass/LawSingleIf.aspx?Pcode=N0030014&amp;FLNO=39%20%20%20%20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law.moj.gov.tw/LawClass/LawSingleIf.aspx?Pcode=N0030014&amp;FLNO=1%20%20%20%20%20" TargetMode="External"/><Relationship Id="rId12" Type="http://schemas.openxmlformats.org/officeDocument/2006/relationships/hyperlink" Target="http://law.moj.gov.tw/LawClass/LawSingleIf.aspx?Pcode=N0030014&amp;FLNO=6%20%20%20%20%20" TargetMode="External"/><Relationship Id="rId17" Type="http://schemas.openxmlformats.org/officeDocument/2006/relationships/hyperlink" Target="http://law.moj.gov.tw/LawClass/LawSingleIf.aspx?Pcode=N0030014&amp;FLNO=10%20%20%20%20" TargetMode="External"/><Relationship Id="rId25" Type="http://schemas.openxmlformats.org/officeDocument/2006/relationships/hyperlink" Target="http://law.moj.gov.tw/LawClass/LawSingleIf.aspx?Pcode=N0030014&amp;FLNO=18%20%20%20%20" TargetMode="External"/><Relationship Id="rId33" Type="http://schemas.openxmlformats.org/officeDocument/2006/relationships/hyperlink" Target="http://law.moj.gov.tw/LawClass/LawSingleIf.aspx?Pcode=N0030014&amp;FLNO=26%20%20%20%20" TargetMode="External"/><Relationship Id="rId38" Type="http://schemas.openxmlformats.org/officeDocument/2006/relationships/hyperlink" Target="http://law.moj.gov.tw/LawClass/LawSingleIf.aspx?Pcode=N0030014&amp;FLNO=31%20%20%20%20" TargetMode="External"/><Relationship Id="rId46" Type="http://schemas.openxmlformats.org/officeDocument/2006/relationships/hyperlink" Target="http://law.moj.gov.tw/LawClass/LawSingleIf.aspx?Pcode=N0030014&amp;FLNO=38-1%20%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w.moj.gov.tw/LawClass/LawSingleIf.aspx?Pcode=N0030014&amp;FLNO=9%20%20%20%20%20" TargetMode="External"/><Relationship Id="rId20" Type="http://schemas.openxmlformats.org/officeDocument/2006/relationships/hyperlink" Target="http://law.moj.gov.tw/LawClass/LawSingleIf.aspx?Pcode=N0030014&amp;FLNO=13%20%20%20%20" TargetMode="External"/><Relationship Id="rId29" Type="http://schemas.openxmlformats.org/officeDocument/2006/relationships/hyperlink" Target="http://law.moj.gov.tw/LawClass/LawSingleIf.aspx?Pcode=N0030014&amp;FLNO=22%20%20%20%20" TargetMode="External"/><Relationship Id="rId41" Type="http://schemas.openxmlformats.org/officeDocument/2006/relationships/hyperlink" Target="http://law.moj.gov.tw/LawClass/LawSingleIf.aspx?Pcode=N0030014&amp;FLNO=34%20%20%20%20" TargetMode="External"/><Relationship Id="rId1" Type="http://schemas.openxmlformats.org/officeDocument/2006/relationships/styles" Target="styles.xml"/><Relationship Id="rId6" Type="http://schemas.openxmlformats.org/officeDocument/2006/relationships/hyperlink" Target="http://law.moj.gov.tw/LawClass/LawContent.aspx?PCODE=N0030014" TargetMode="External"/><Relationship Id="rId11" Type="http://schemas.openxmlformats.org/officeDocument/2006/relationships/hyperlink" Target="http://law.moj.gov.tw/LawClass/LawSingleIf.aspx?Pcode=N0030014&amp;FLNO=5%20%20%20%20%20" TargetMode="External"/><Relationship Id="rId24" Type="http://schemas.openxmlformats.org/officeDocument/2006/relationships/hyperlink" Target="http://law.moj.gov.tw/LawClass/LawSingleIf.aspx?Pcode=N0030014&amp;FLNO=17%20%20%20%20" TargetMode="External"/><Relationship Id="rId32" Type="http://schemas.openxmlformats.org/officeDocument/2006/relationships/hyperlink" Target="http://law.moj.gov.tw/LawClass/LawSingleIf.aspx?Pcode=N0030014&amp;FLNO=25%20%20%20%20" TargetMode="External"/><Relationship Id="rId37" Type="http://schemas.openxmlformats.org/officeDocument/2006/relationships/hyperlink" Target="http://law.moj.gov.tw/LawClass/LawSingleIf.aspx?Pcode=N0030014&amp;FLNO=30%20%20%20%20" TargetMode="External"/><Relationship Id="rId40" Type="http://schemas.openxmlformats.org/officeDocument/2006/relationships/hyperlink" Target="http://law.moj.gov.tw/LawClass/LawSingleIf.aspx?Pcode=N0030014&amp;FLNO=33%20%20%20%20" TargetMode="External"/><Relationship Id="rId45" Type="http://schemas.openxmlformats.org/officeDocument/2006/relationships/hyperlink" Target="http://law.moj.gov.tw/LawClass/LawSingleIf.aspx?Pcode=N0030014&amp;FLNO=38%20%20%20%2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law.moj.gov.tw/LawClass/LawSingleIf.aspx?Pcode=N0030014&amp;FLNO=8%20%20%20%20%20" TargetMode="External"/><Relationship Id="rId23" Type="http://schemas.openxmlformats.org/officeDocument/2006/relationships/hyperlink" Target="http://law.moj.gov.tw/LawClass/LawSingleIf.aspx?Pcode=N0030014&amp;FLNO=16%20%20%20%20" TargetMode="External"/><Relationship Id="rId28" Type="http://schemas.openxmlformats.org/officeDocument/2006/relationships/hyperlink" Target="http://law.moj.gov.tw/LawClass/LawSingleIf.aspx?Pcode=N0030014&amp;FLNO=21%20%20%20%20" TargetMode="External"/><Relationship Id="rId36" Type="http://schemas.openxmlformats.org/officeDocument/2006/relationships/hyperlink" Target="http://law.moj.gov.tw/LawClass/LawSingleIf.aspx?Pcode=N0030014&amp;FLNO=29%20%20%20%2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law.moj.gov.tw/LawClass/LawSingleIf.aspx?Pcode=N0030014&amp;FLNO=4%20%20%20%20%20" TargetMode="External"/><Relationship Id="rId19" Type="http://schemas.openxmlformats.org/officeDocument/2006/relationships/hyperlink" Target="http://law.moj.gov.tw/LawClass/LawSingleIf.aspx?Pcode=N0030014&amp;FLNO=12%20%20%20%20" TargetMode="External"/><Relationship Id="rId31" Type="http://schemas.openxmlformats.org/officeDocument/2006/relationships/hyperlink" Target="http://law.moj.gov.tw/LawClass/LawSingleIf.aspx?Pcode=N0030014&amp;FLNO=24%20%20%20%20" TargetMode="External"/><Relationship Id="rId44" Type="http://schemas.openxmlformats.org/officeDocument/2006/relationships/hyperlink" Target="http://law.moj.gov.tw/LawClass/LawSingleIf.aspx?Pcode=N0030014&amp;FLNO=37%20%20%20%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aw.moj.gov.tw/LawClass/LawSingleIf.aspx?Pcode=N0030014&amp;FLNO=3%20%20%20%20%20" TargetMode="External"/><Relationship Id="rId14" Type="http://schemas.openxmlformats.org/officeDocument/2006/relationships/hyperlink" Target="http://law.moj.gov.tw/LawClass/LawSingleIf.aspx?Pcode=N0030014&amp;FLNO=7%20%20%20%20%20" TargetMode="External"/><Relationship Id="rId22" Type="http://schemas.openxmlformats.org/officeDocument/2006/relationships/hyperlink" Target="http://law.moj.gov.tw/LawClass/LawSingleIf.aspx?Pcode=N0030014&amp;FLNO=15%20%20%20%20" TargetMode="External"/><Relationship Id="rId27" Type="http://schemas.openxmlformats.org/officeDocument/2006/relationships/hyperlink" Target="http://law.moj.gov.tw/LawClass/LawSingleIf.aspx?Pcode=N0030014&amp;FLNO=20%20%20%20%20" TargetMode="External"/><Relationship Id="rId30" Type="http://schemas.openxmlformats.org/officeDocument/2006/relationships/hyperlink" Target="http://law.moj.gov.tw/LawClass/LawSingleIf.aspx?Pcode=N0030014&amp;FLNO=23%20%20%20%20" TargetMode="External"/><Relationship Id="rId35" Type="http://schemas.openxmlformats.org/officeDocument/2006/relationships/hyperlink" Target="http://law.moj.gov.tw/LawClass/LawSingleIf.aspx?Pcode=N0030014&amp;FLNO=28%20%20%20%20" TargetMode="External"/><Relationship Id="rId43" Type="http://schemas.openxmlformats.org/officeDocument/2006/relationships/hyperlink" Target="http://law.moj.gov.tw/LawClass/LawSingleIf.aspx?Pcode=N0030014&amp;FLNO=36%20%20%20%20" TargetMode="External"/><Relationship Id="rId48" Type="http://schemas.openxmlformats.org/officeDocument/2006/relationships/hyperlink" Target="http://law.moj.gov.tw/LawClass/LawSingleIf.aspx?Pcode=N0030014&amp;FLNO=40%20%20%20%20" TargetMode="External"/><Relationship Id="rId8" Type="http://schemas.openxmlformats.org/officeDocument/2006/relationships/hyperlink" Target="http://law.moj.gov.tw/LawClass/LawSingleIf.aspx?Pcode=N0030014&amp;FLNO=2%20%20%20%20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1389</Words>
  <Characters>7920</Characters>
  <Application>Microsoft Office Word</Application>
  <DocSecurity>0</DocSecurity>
  <Lines>66</Lines>
  <Paragraphs>18</Paragraphs>
  <ScaleCrop>false</ScaleCrop>
  <Company/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</dc:creator>
  <cp:lastModifiedBy>kk</cp:lastModifiedBy>
  <cp:revision>8</cp:revision>
  <dcterms:created xsi:type="dcterms:W3CDTF">2012-06-27T05:43:00Z</dcterms:created>
  <dcterms:modified xsi:type="dcterms:W3CDTF">2015-05-01T06:17:00Z</dcterms:modified>
</cp:coreProperties>
</file>